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2" w:rsidRPr="008638E0" w:rsidRDefault="005C2BB2" w:rsidP="005C2BB2">
      <w:pPr>
        <w:pStyle w:val="1"/>
        <w:jc w:val="left"/>
        <w:rPr>
          <w:i w:val="0"/>
          <w:sz w:val="28"/>
          <w:szCs w:val="28"/>
        </w:rPr>
      </w:pPr>
      <w:bookmarkStart w:id="0" w:name="_Toc49254019"/>
      <w:proofErr w:type="spellStart"/>
      <w:r w:rsidRPr="008638E0">
        <w:rPr>
          <w:i w:val="0"/>
          <w:sz w:val="28"/>
          <w:szCs w:val="28"/>
        </w:rPr>
        <w:t>Фесенко</w:t>
      </w:r>
      <w:proofErr w:type="spellEnd"/>
      <w:r w:rsidRPr="008638E0">
        <w:rPr>
          <w:i w:val="0"/>
          <w:sz w:val="28"/>
          <w:szCs w:val="28"/>
        </w:rPr>
        <w:t xml:space="preserve"> Н. С., доцент кафедри креативної педагогіки та інтелектуальної власності Української інженерно-педагогічної академії, </w:t>
      </w:r>
      <w:proofErr w:type="spellStart"/>
      <w:r w:rsidRPr="008638E0">
        <w:rPr>
          <w:i w:val="0"/>
          <w:sz w:val="28"/>
          <w:szCs w:val="28"/>
        </w:rPr>
        <w:t>к.держ.упр</w:t>
      </w:r>
      <w:proofErr w:type="spellEnd"/>
      <w:r w:rsidRPr="008638E0">
        <w:rPr>
          <w:i w:val="0"/>
          <w:sz w:val="28"/>
          <w:szCs w:val="28"/>
        </w:rPr>
        <w:t>., доц.</w:t>
      </w:r>
      <w:r w:rsidRPr="008638E0">
        <w:rPr>
          <w:i w:val="0"/>
          <w:sz w:val="28"/>
          <w:szCs w:val="28"/>
        </w:rPr>
        <w:br/>
        <w:t>НАЦІОНАЛЬНА СТРАТЕГІЯ ІНТЕЛЕКТУАЛЬНОЇ ВЛАСНОСТІ ЯК ІНСТРУМЕНТ РЕФОРМУВАННЯ ІННОВАЦІЙНОГО РИНКУ</w:t>
      </w:r>
      <w:bookmarkEnd w:id="0"/>
    </w:p>
    <w:p w:rsidR="005C2BB2" w:rsidRPr="00CF56AA" w:rsidRDefault="005C2BB2" w:rsidP="005C2BB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У світовій економіці спостерігається стійка тенденція до зміни структури ринку на користь зростання ринку інтелектуальної власності (15% ВВП). Сьогодні лідируючі позиції у світовій торгівлі посідають країни АТЕС: США, Японія і Китай. Світовий досвід вказує на те, що нематеріальні активи стають суттєвим складником вартості бізнесу як потужних корпорацій, так і мікропідприємств. На думку В. </w:t>
      </w:r>
      <w:proofErr w:type="spellStart"/>
      <w:r w:rsidRPr="00CF56AA">
        <w:rPr>
          <w:sz w:val="28"/>
          <w:szCs w:val="28"/>
          <w:lang w:val="uk-UA"/>
        </w:rPr>
        <w:t>Мукомели-Михалець</w:t>
      </w:r>
      <w:proofErr w:type="spellEnd"/>
      <w:r w:rsidRPr="00CF56AA">
        <w:rPr>
          <w:sz w:val="28"/>
          <w:szCs w:val="28"/>
          <w:lang w:val="uk-UA"/>
        </w:rPr>
        <w:t>, революційні зміни в інформації та технологіях ХХІ сторіччя сприяють збільшенню частки нематеріальних активів у балансовій і ринковій вартості підприємств, особливо у розвинених країнах [1]. Так, нематеріальний складник ринкової вартості 500 компаній США, що мають найбільшу капіталізацію, відповідно до S&amp;P 500 індексу зріс від 17% у 1975 році до 87% у 2015 році [2]. Нематеріальні активи, як зазначає В. </w:t>
      </w:r>
      <w:proofErr w:type="spellStart"/>
      <w:r w:rsidRPr="00CF56AA">
        <w:rPr>
          <w:sz w:val="28"/>
          <w:szCs w:val="28"/>
          <w:lang w:val="uk-UA"/>
        </w:rPr>
        <w:t>Мукомела-Михалець</w:t>
      </w:r>
      <w:proofErr w:type="spellEnd"/>
      <w:r w:rsidRPr="00CF56AA">
        <w:rPr>
          <w:sz w:val="28"/>
          <w:szCs w:val="28"/>
          <w:lang w:val="uk-UA"/>
        </w:rPr>
        <w:t>, поступово перетворюються на стратегічний ресурс, завдяки якому формуються стійкі конкурентні переваги у виробництві, експлуатації, управлінні та інших сферах життєдіяльності суб’єктів господарювання [1]. Водночас глобальне щорічне світове дослідження 57 000 компаній GIFT (</w:t>
      </w:r>
      <w:proofErr w:type="spellStart"/>
      <w:r w:rsidRPr="00CF56AA">
        <w:rPr>
          <w:sz w:val="28"/>
          <w:szCs w:val="28"/>
          <w:lang w:val="uk-UA"/>
        </w:rPr>
        <w:t>Global</w:t>
      </w:r>
      <w:proofErr w:type="spellEnd"/>
      <w:r w:rsidRPr="00CF56AA">
        <w:rPr>
          <w:sz w:val="28"/>
          <w:szCs w:val="28"/>
          <w:lang w:val="uk-UA"/>
        </w:rPr>
        <w:t xml:space="preserve"> </w:t>
      </w:r>
      <w:proofErr w:type="spellStart"/>
      <w:r w:rsidRPr="00CF56AA">
        <w:rPr>
          <w:sz w:val="28"/>
          <w:szCs w:val="28"/>
          <w:lang w:val="uk-UA"/>
        </w:rPr>
        <w:t>Intangible</w:t>
      </w:r>
      <w:proofErr w:type="spellEnd"/>
      <w:r w:rsidRPr="00CF56AA">
        <w:rPr>
          <w:sz w:val="28"/>
          <w:szCs w:val="28"/>
          <w:lang w:val="uk-UA"/>
        </w:rPr>
        <w:t xml:space="preserve"> </w:t>
      </w:r>
      <w:proofErr w:type="spellStart"/>
      <w:r w:rsidRPr="00CF56AA">
        <w:rPr>
          <w:sz w:val="28"/>
          <w:szCs w:val="28"/>
          <w:lang w:val="uk-UA"/>
        </w:rPr>
        <w:t>Finance</w:t>
      </w:r>
      <w:proofErr w:type="spellEnd"/>
      <w:r w:rsidRPr="00CF56AA">
        <w:rPr>
          <w:sz w:val="28"/>
          <w:szCs w:val="28"/>
          <w:lang w:val="uk-UA"/>
        </w:rPr>
        <w:t xml:space="preserve"> </w:t>
      </w:r>
      <w:proofErr w:type="spellStart"/>
      <w:r w:rsidRPr="00CF56AA">
        <w:rPr>
          <w:sz w:val="28"/>
          <w:szCs w:val="28"/>
          <w:lang w:val="uk-UA"/>
        </w:rPr>
        <w:t>Tracker</w:t>
      </w:r>
      <w:proofErr w:type="spellEnd"/>
      <w:r w:rsidRPr="00CF56AA">
        <w:rPr>
          <w:sz w:val="28"/>
          <w:szCs w:val="28"/>
          <w:lang w:val="uk-UA"/>
        </w:rPr>
        <w:t>) виділяє феномен «нерозкритих нематеріальних активів», на які в 2015 році припадало близько 35% від глобальної вартості підприємств [3].</w:t>
      </w:r>
    </w:p>
    <w:p w:rsidR="005C2BB2" w:rsidRPr="00CF56AA" w:rsidRDefault="005C2BB2" w:rsidP="005C2BB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В умовах глобалізації економіки та прагнень вступу в ЄС Україна також повинна вписуватися в загальну систему економіко-правових відносин у сфері інтелектуальної власності. Однак поки не вирішено ряд проблем, пов'язаних із формуванням і розвитком цивілізованого ринку інтелектуальної власності (ІВ). Відповідно до IIPA </w:t>
      </w:r>
      <w:proofErr w:type="spellStart"/>
      <w:r w:rsidRPr="00CF56AA">
        <w:rPr>
          <w:sz w:val="28"/>
          <w:szCs w:val="28"/>
          <w:lang w:val="uk-UA"/>
        </w:rPr>
        <w:t>Spеcial</w:t>
      </w:r>
      <w:proofErr w:type="spellEnd"/>
      <w:r w:rsidRPr="00CF56AA">
        <w:rPr>
          <w:sz w:val="28"/>
          <w:szCs w:val="28"/>
          <w:lang w:val="uk-UA"/>
        </w:rPr>
        <w:t xml:space="preserve"> 301 </w:t>
      </w:r>
      <w:proofErr w:type="spellStart"/>
      <w:r w:rsidRPr="00CF56AA">
        <w:rPr>
          <w:sz w:val="28"/>
          <w:szCs w:val="28"/>
          <w:lang w:val="uk-UA"/>
        </w:rPr>
        <w:t>Recommendations</w:t>
      </w:r>
      <w:proofErr w:type="spellEnd"/>
      <w:r w:rsidRPr="00CF56AA">
        <w:rPr>
          <w:sz w:val="28"/>
          <w:szCs w:val="28"/>
          <w:lang w:val="uk-UA"/>
        </w:rPr>
        <w:t xml:space="preserve"> (301 Рекомендації Міжнародного альянсу інтелектуальної власності) в Україні протягом тривалого часу (з 1998 року) зберігаються критично не вирішеними проблеми щодо режиму інтелектуальної власності (зокрема, порушення авторських і суміжних прав, недобросовісне і непрозоре адміністрування систем зборів товариств). Тому, незважаючи на окремі позитивні тенденції, за підсумками 2018 року Україну віднесено до 12 держав світу, в яких найчастіше порушують права інтелектуальної власності [4; 5].</w:t>
      </w:r>
    </w:p>
    <w:p w:rsidR="005C2BB2" w:rsidRPr="00CF56AA" w:rsidRDefault="005C2BB2" w:rsidP="005C2BB2">
      <w:pPr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Уперше за багато років незалежності України позитивним кроком у галузі ІВ передбачається реформа захисту інтелектуальної власності в рамках</w:t>
      </w:r>
      <w:r w:rsidRPr="00CF56AA">
        <w:rPr>
          <w:sz w:val="22"/>
          <w:szCs w:val="22"/>
        </w:rPr>
        <w:t xml:space="preserve"> </w:t>
      </w:r>
      <w:r w:rsidRPr="00CF56AA">
        <w:rPr>
          <w:sz w:val="28"/>
          <w:szCs w:val="28"/>
          <w:lang w:val="uk-UA"/>
        </w:rPr>
        <w:t>Національної Стратегії</w:t>
      </w:r>
      <w:r w:rsidRPr="00CF56AA">
        <w:rPr>
          <w:sz w:val="28"/>
          <w:szCs w:val="28"/>
        </w:rPr>
        <w:t xml:space="preserve"> </w:t>
      </w:r>
      <w:proofErr w:type="spellStart"/>
      <w:r w:rsidRPr="00CF56AA">
        <w:rPr>
          <w:sz w:val="28"/>
          <w:szCs w:val="28"/>
        </w:rPr>
        <w:t>інтелектуальної</w:t>
      </w:r>
      <w:proofErr w:type="spellEnd"/>
      <w:r w:rsidRPr="00CF56AA">
        <w:rPr>
          <w:sz w:val="28"/>
          <w:szCs w:val="28"/>
        </w:rPr>
        <w:t xml:space="preserve"> </w:t>
      </w:r>
      <w:proofErr w:type="spellStart"/>
      <w:r w:rsidRPr="00CF56AA">
        <w:rPr>
          <w:sz w:val="28"/>
          <w:szCs w:val="28"/>
        </w:rPr>
        <w:t>власності</w:t>
      </w:r>
      <w:proofErr w:type="spellEnd"/>
      <w:r w:rsidRPr="00CF56AA">
        <w:rPr>
          <w:sz w:val="28"/>
          <w:szCs w:val="28"/>
        </w:rPr>
        <w:t>.</w:t>
      </w:r>
      <w:r w:rsidRPr="00CF56AA">
        <w:rPr>
          <w:sz w:val="28"/>
          <w:szCs w:val="28"/>
          <w:lang w:val="uk-UA"/>
        </w:rPr>
        <w:t xml:space="preserve"> Як зазначено на сайті Національного офісу інтелектуальної власності (НОІВ), Стратегія являє собою комплекс заходів, що реалізуються державою з метою стимулювання і підтримки ефективного створення, використання, впровадження і охорони об’єктів права інтелектуальної власності на національному рівні. Стратегія носить міжгалузевий характер, оскільки об’єднує питання, що відносяться до компетенції різних державних органів, установ та організацій </w:t>
      </w:r>
      <w:r w:rsidRPr="00CF56AA">
        <w:rPr>
          <w:sz w:val="28"/>
          <w:szCs w:val="28"/>
        </w:rPr>
        <w:t>[</w:t>
      </w:r>
      <w:r w:rsidRPr="00CF56AA">
        <w:rPr>
          <w:sz w:val="28"/>
          <w:szCs w:val="28"/>
          <w:lang w:val="uk-UA"/>
        </w:rPr>
        <w:t>6</w:t>
      </w:r>
      <w:r w:rsidRPr="00CF56AA">
        <w:rPr>
          <w:sz w:val="28"/>
          <w:szCs w:val="28"/>
        </w:rPr>
        <w:t>]</w:t>
      </w:r>
      <w:r w:rsidRPr="00CF56AA">
        <w:rPr>
          <w:sz w:val="28"/>
          <w:szCs w:val="28"/>
          <w:lang w:val="uk-UA"/>
        </w:rPr>
        <w:t>.</w:t>
      </w:r>
    </w:p>
    <w:p w:rsidR="005C2BB2" w:rsidRPr="00CF56AA" w:rsidRDefault="005C2BB2" w:rsidP="005C2BB2">
      <w:pPr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Стратегія інтелектуальної власності підвищує здатність країни </w:t>
      </w:r>
      <w:r w:rsidRPr="00CF56AA">
        <w:rPr>
          <w:sz w:val="28"/>
          <w:szCs w:val="28"/>
          <w:lang w:val="uk-UA"/>
        </w:rPr>
        <w:lastRenderedPageBreak/>
        <w:t>генерувати економічно цінні активи у сфері інтелектуальної власності. Зазначена Стратегія має на меті сприяння країнам у розвитку інтелектуального потенціалу та є логічним продовженням процесу удосконалення сфери інтелектуальної власності в Україні.</w:t>
      </w:r>
    </w:p>
    <w:p w:rsidR="005C2BB2" w:rsidRPr="00CF56AA" w:rsidRDefault="005C2BB2" w:rsidP="005C2BB2">
      <w:pPr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Розробка Стратегії зумовлена необхідністю кардинальних змін, спрямованих на використання інтелектуальної власності як стратегічного ресурсу в системі формування національного багатства та підвищення конкурентоспроможності економіки нашої країни, прискорення інноваційного розвитку та інтеграції України у міжнародний економічний простір. Такі документи розроблені, зокрема, у Канаді, Молдові, Грузії тощо.</w:t>
      </w:r>
    </w:p>
    <w:p w:rsidR="005C2BB2" w:rsidRPr="00CF56AA" w:rsidRDefault="005C2BB2" w:rsidP="005C2BB2">
      <w:pPr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Прикладне значення Стратегії полягає у тому, що вона комплексно, у взаємозв’язку з іншими галузями економіки пропонує механізм ефективного та оптимального впровадження державної політики у сфері інтелектуальної власності, особливо враховуючи необхідність реформування останньої.</w:t>
      </w:r>
    </w:p>
    <w:p w:rsidR="005C2BB2" w:rsidRPr="00CF56AA" w:rsidRDefault="005C2BB2" w:rsidP="005C2BB2">
      <w:pPr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Розробка Стратегії за підтримки ВОІВ передбачає вжиття цілої низки заходів, зокрема, створення національної експертної групи з підготовки проекту Стратегії, збір необхідної інформації, аналіз поточної ситуації із регламентації та охорони відносин у сфері суспільних відносин, проведення різноманітних консультацій, розробку проекту Стратегії, її затвердження та імплементацію </w:t>
      </w:r>
      <w:r w:rsidRPr="00CF56AA">
        <w:rPr>
          <w:sz w:val="28"/>
          <w:szCs w:val="28"/>
        </w:rPr>
        <w:t>[</w:t>
      </w:r>
      <w:r w:rsidRPr="00CF56AA">
        <w:rPr>
          <w:sz w:val="28"/>
          <w:szCs w:val="28"/>
          <w:lang w:val="uk-UA"/>
        </w:rPr>
        <w:t>6</w:t>
      </w:r>
      <w:r w:rsidRPr="00CF56AA">
        <w:rPr>
          <w:sz w:val="28"/>
          <w:szCs w:val="28"/>
        </w:rPr>
        <w:t>]</w:t>
      </w:r>
      <w:r w:rsidRPr="00CF56AA">
        <w:rPr>
          <w:sz w:val="28"/>
          <w:szCs w:val="28"/>
          <w:lang w:val="uk-UA"/>
        </w:rPr>
        <w:t>.</w:t>
      </w:r>
    </w:p>
    <w:p w:rsidR="005C2BB2" w:rsidRPr="00CF56AA" w:rsidRDefault="005C2BB2" w:rsidP="005C2BB2">
      <w:pPr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Цей документ має зацікавити все працездатне суспільство України, тому що дозволить перейти на цивілізований принцип використання продуктів інтелектуальної діяльності. Основним способом ознайомлення з новими реформами могло б стати завдання педагогам розробити курс «Інтелектуальна власність», який би був обов’язковим для всіх факультетів і спеціальностей у рамках 17-34 лекційних годин, 6-8 годин практичної роботи і заліку.</w:t>
      </w:r>
    </w:p>
    <w:p w:rsidR="005C2BB2" w:rsidRPr="00CF56AA" w:rsidRDefault="005C2BB2" w:rsidP="005C2BB2">
      <w:pPr>
        <w:widowControl/>
        <w:ind w:firstLine="567"/>
        <w:jc w:val="both"/>
        <w:rPr>
          <w:b/>
          <w:bCs/>
          <w:sz w:val="28"/>
          <w:szCs w:val="28"/>
          <w:lang w:val="uk-UA"/>
        </w:rPr>
      </w:pPr>
      <w:r w:rsidRPr="00CF56AA">
        <w:rPr>
          <w:b/>
          <w:bCs/>
          <w:sz w:val="28"/>
          <w:szCs w:val="28"/>
          <w:lang w:val="uk-UA"/>
        </w:rPr>
        <w:t>Список використаних джерел</w:t>
      </w:r>
    </w:p>
    <w:p w:rsidR="005C2BB2" w:rsidRPr="00CF56AA" w:rsidRDefault="005C2BB2" w:rsidP="005C2BB2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bookmarkStart w:id="1" w:name="_Ref35601203"/>
      <w:proofErr w:type="spellStart"/>
      <w:r w:rsidRPr="00CF56AA">
        <w:rPr>
          <w:sz w:val="28"/>
          <w:szCs w:val="28"/>
          <w:lang w:val="uk-UA"/>
        </w:rPr>
        <w:t>Мукомела-Михалець</w:t>
      </w:r>
      <w:proofErr w:type="spellEnd"/>
      <w:r w:rsidRPr="00CF56AA">
        <w:rPr>
          <w:sz w:val="28"/>
          <w:szCs w:val="28"/>
          <w:lang w:val="uk-UA"/>
        </w:rPr>
        <w:t xml:space="preserve"> В. О. Нематеріальні активи промислових корпорацій: проблеми нарощування і розвитку / В. О. </w:t>
      </w:r>
      <w:proofErr w:type="spellStart"/>
      <w:r w:rsidRPr="00CF56AA">
        <w:rPr>
          <w:sz w:val="28"/>
          <w:szCs w:val="28"/>
          <w:lang w:val="uk-UA"/>
        </w:rPr>
        <w:t>Мукомела-Михалець</w:t>
      </w:r>
      <w:proofErr w:type="spellEnd"/>
      <w:r w:rsidRPr="00CF56AA">
        <w:rPr>
          <w:sz w:val="28"/>
          <w:szCs w:val="28"/>
          <w:lang w:val="uk-UA"/>
        </w:rPr>
        <w:t xml:space="preserve"> // Науковий вісник Херсонського державного університету. – 2017. – Вип. 24. – </w:t>
      </w:r>
      <w:proofErr w:type="spellStart"/>
      <w:r w:rsidRPr="00CF56AA">
        <w:rPr>
          <w:sz w:val="28"/>
          <w:szCs w:val="28"/>
          <w:lang w:val="uk-UA"/>
        </w:rPr>
        <w:t>Част</w:t>
      </w:r>
      <w:proofErr w:type="spellEnd"/>
      <w:r w:rsidRPr="00CF56AA">
        <w:rPr>
          <w:sz w:val="28"/>
          <w:szCs w:val="28"/>
          <w:lang w:val="uk-UA"/>
        </w:rPr>
        <w:t xml:space="preserve">. 1. – С. 126-130. – Режим доступу : </w:t>
      </w:r>
      <w:hyperlink r:id="rId5" w:history="1">
        <w:r w:rsidRPr="00CF56AA">
          <w:rPr>
            <w:sz w:val="28"/>
            <w:szCs w:val="28"/>
          </w:rPr>
          <w:t>http</w:t>
        </w:r>
        <w:r w:rsidRPr="00CF56AA">
          <w:rPr>
            <w:sz w:val="28"/>
            <w:szCs w:val="28"/>
            <w:lang w:val="uk-UA"/>
          </w:rPr>
          <w:t>://</w:t>
        </w:r>
        <w:r w:rsidRPr="00CF56AA">
          <w:rPr>
            <w:sz w:val="28"/>
            <w:szCs w:val="28"/>
          </w:rPr>
          <w:t>www</w:t>
        </w:r>
        <w:r w:rsidRPr="00CF56AA">
          <w:rPr>
            <w:sz w:val="28"/>
            <w:szCs w:val="28"/>
            <w:lang w:val="uk-UA"/>
          </w:rPr>
          <w:t>.</w:t>
        </w:r>
        <w:r w:rsidRPr="00CF56AA">
          <w:rPr>
            <w:sz w:val="28"/>
            <w:szCs w:val="28"/>
          </w:rPr>
          <w:t>ej</w:t>
        </w:r>
        <w:r w:rsidRPr="00CF56AA">
          <w:rPr>
            <w:sz w:val="28"/>
            <w:szCs w:val="28"/>
            <w:lang w:val="uk-UA"/>
          </w:rPr>
          <w:t>.</w:t>
        </w:r>
        <w:r w:rsidRPr="00CF56AA">
          <w:rPr>
            <w:sz w:val="28"/>
            <w:szCs w:val="28"/>
          </w:rPr>
          <w:t>kherson</w:t>
        </w:r>
        <w:r w:rsidRPr="00CF56AA">
          <w:rPr>
            <w:sz w:val="28"/>
            <w:szCs w:val="28"/>
            <w:lang w:val="uk-UA"/>
          </w:rPr>
          <w:t>.</w:t>
        </w:r>
        <w:r w:rsidRPr="00CF56AA">
          <w:rPr>
            <w:sz w:val="28"/>
            <w:szCs w:val="28"/>
          </w:rPr>
          <w:t>ua</w:t>
        </w:r>
        <w:r w:rsidRPr="00CF56AA">
          <w:rPr>
            <w:sz w:val="28"/>
            <w:szCs w:val="28"/>
            <w:lang w:val="uk-UA"/>
          </w:rPr>
          <w:t>/</w:t>
        </w:r>
        <w:r w:rsidRPr="00CF56AA">
          <w:rPr>
            <w:sz w:val="28"/>
            <w:szCs w:val="28"/>
          </w:rPr>
          <w:t>journal</w:t>
        </w:r>
        <w:r w:rsidRPr="00CF56AA">
          <w:rPr>
            <w:sz w:val="28"/>
            <w:szCs w:val="28"/>
            <w:lang w:val="uk-UA"/>
          </w:rPr>
          <w:t>/</w:t>
        </w:r>
        <w:r w:rsidRPr="00CF56AA">
          <w:rPr>
            <w:sz w:val="28"/>
            <w:szCs w:val="28"/>
          </w:rPr>
          <w:t>economic</w:t>
        </w:r>
        <w:r w:rsidRPr="00CF56AA">
          <w:rPr>
            <w:sz w:val="28"/>
            <w:szCs w:val="28"/>
            <w:lang w:val="uk-UA"/>
          </w:rPr>
          <w:t>_24/</w:t>
        </w:r>
        <w:r w:rsidRPr="00CF56AA">
          <w:rPr>
            <w:sz w:val="28"/>
            <w:szCs w:val="28"/>
          </w:rPr>
          <w:t>economic</w:t>
        </w:r>
        <w:r w:rsidRPr="00CF56AA">
          <w:rPr>
            <w:sz w:val="28"/>
            <w:szCs w:val="28"/>
            <w:lang w:val="uk-UA"/>
          </w:rPr>
          <w:t>_24_1.</w:t>
        </w:r>
        <w:proofErr w:type="spellStart"/>
        <w:r w:rsidRPr="00CF56AA">
          <w:rPr>
            <w:sz w:val="28"/>
            <w:szCs w:val="28"/>
          </w:rPr>
          <w:t>pdf</w:t>
        </w:r>
        <w:proofErr w:type="spellEnd"/>
      </w:hyperlink>
      <w:bookmarkEnd w:id="1"/>
    </w:p>
    <w:p w:rsidR="005C2BB2" w:rsidRPr="00CF56AA" w:rsidRDefault="005C2BB2" w:rsidP="005C2BB2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bookmarkStart w:id="2" w:name="_Ref35601224"/>
      <w:r w:rsidRPr="00CF56AA">
        <w:rPr>
          <w:sz w:val="28"/>
          <w:szCs w:val="28"/>
          <w:lang w:val="en-US"/>
        </w:rPr>
        <w:t xml:space="preserve">Ocean </w:t>
      </w:r>
      <w:proofErr w:type="spellStart"/>
      <w:r w:rsidRPr="00CF56AA">
        <w:rPr>
          <w:sz w:val="28"/>
          <w:szCs w:val="28"/>
          <w:lang w:val="en-US"/>
        </w:rPr>
        <w:t>Tomo</w:t>
      </w:r>
      <w:proofErr w:type="spellEnd"/>
      <w:r w:rsidRPr="00CF56AA">
        <w:rPr>
          <w:sz w:val="28"/>
          <w:szCs w:val="28"/>
          <w:lang w:val="en-US"/>
        </w:rPr>
        <w:t xml:space="preserve"> LLC, Annual Study of Intangible Asset Market Value Ocean </w:t>
      </w:r>
      <w:proofErr w:type="spellStart"/>
      <w:r w:rsidRPr="00CF56AA">
        <w:rPr>
          <w:sz w:val="28"/>
          <w:szCs w:val="28"/>
          <w:lang w:val="en-US"/>
        </w:rPr>
        <w:t>Tomo</w:t>
      </w:r>
      <w:proofErr w:type="spellEnd"/>
      <w:r w:rsidRPr="00CF56AA">
        <w:rPr>
          <w:sz w:val="28"/>
          <w:szCs w:val="28"/>
          <w:lang w:val="en-US"/>
        </w:rPr>
        <w:t xml:space="preserve">, LLC, 2015. Mode of access: http://www.oceantomo. </w:t>
      </w:r>
      <w:proofErr w:type="gramStart"/>
      <w:r w:rsidRPr="00CF56AA">
        <w:rPr>
          <w:sz w:val="28"/>
          <w:szCs w:val="28"/>
          <w:lang w:val="en-US"/>
        </w:rPr>
        <w:t>com/2015/03/04/2015-intangible-asset-market-value-study</w:t>
      </w:r>
      <w:proofErr w:type="gramEnd"/>
      <w:r w:rsidRPr="00CF56AA">
        <w:rPr>
          <w:sz w:val="28"/>
          <w:szCs w:val="28"/>
          <w:lang w:val="en-US"/>
        </w:rPr>
        <w:t>.</w:t>
      </w:r>
      <w:bookmarkEnd w:id="2"/>
      <w:r w:rsidRPr="00CF56AA">
        <w:rPr>
          <w:sz w:val="28"/>
          <w:szCs w:val="28"/>
          <w:lang w:val="en-US"/>
        </w:rPr>
        <w:t xml:space="preserve"> </w:t>
      </w:r>
    </w:p>
    <w:p w:rsidR="005C2BB2" w:rsidRPr="00CF56AA" w:rsidRDefault="005C2BB2" w:rsidP="005C2BB2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bookmarkStart w:id="3" w:name="_Ref35601260"/>
      <w:r w:rsidRPr="00CF56AA">
        <w:rPr>
          <w:sz w:val="28"/>
          <w:szCs w:val="28"/>
          <w:lang w:val="en-US"/>
        </w:rPr>
        <w:t xml:space="preserve">Global Intangible Financial Tracker (GIFT) 2016 Mode of access : </w:t>
      </w:r>
      <w:hyperlink r:id="rId6" w:history="1">
        <w:r w:rsidRPr="00CF56AA">
          <w:rPr>
            <w:sz w:val="28"/>
            <w:szCs w:val="28"/>
            <w:lang w:val="en-US"/>
          </w:rPr>
          <w:t>http://brandfinance.com/images/upload/gift_report_2016_for_ print.pdf</w:t>
        </w:r>
      </w:hyperlink>
      <w:bookmarkEnd w:id="3"/>
    </w:p>
    <w:p w:rsidR="005C2BB2" w:rsidRPr="00CF56AA" w:rsidRDefault="005C2BB2" w:rsidP="005C2BB2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bookmarkStart w:id="4" w:name="_Ref35601280"/>
      <w:r w:rsidRPr="00CF56AA">
        <w:rPr>
          <w:sz w:val="28"/>
          <w:szCs w:val="28"/>
          <w:lang w:val="en-US"/>
        </w:rPr>
        <w:t>201</w:t>
      </w:r>
      <w:r w:rsidRPr="00CF56AA">
        <w:rPr>
          <w:sz w:val="28"/>
          <w:szCs w:val="28"/>
          <w:lang w:val="uk-UA"/>
        </w:rPr>
        <w:t>8</w:t>
      </w:r>
      <w:r w:rsidRPr="00CF56AA">
        <w:rPr>
          <w:sz w:val="28"/>
          <w:szCs w:val="28"/>
          <w:lang w:val="en-US"/>
        </w:rPr>
        <w:t xml:space="preserve"> Special 301 Report, IIPA, Washington, Mode of </w:t>
      </w:r>
      <w:proofErr w:type="gramStart"/>
      <w:r w:rsidRPr="00CF56AA">
        <w:rPr>
          <w:sz w:val="28"/>
          <w:szCs w:val="28"/>
          <w:lang w:val="en-US"/>
        </w:rPr>
        <w:t>access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:</w:t>
      </w:r>
      <w:proofErr w:type="gramEnd"/>
      <w:r w:rsidRPr="00CF56AA">
        <w:rPr>
          <w:sz w:val="28"/>
          <w:szCs w:val="28"/>
          <w:lang w:val="en-US"/>
        </w:rPr>
        <w:t xml:space="preserve"> </w:t>
      </w:r>
      <w:hyperlink r:id="rId7" w:history="1">
        <w:r w:rsidRPr="00CF56AA">
          <w:rPr>
            <w:sz w:val="28"/>
            <w:szCs w:val="28"/>
            <w:lang w:val="en-US"/>
          </w:rPr>
          <w:t>https://ustr.gov/about-us/policy-offices/press-office/press-releases/2018/april/ustr-releases-2018-special-301-report</w:t>
        </w:r>
      </w:hyperlink>
      <w:r w:rsidRPr="00CF56AA">
        <w:rPr>
          <w:sz w:val="28"/>
          <w:szCs w:val="28"/>
          <w:lang w:val="en-US"/>
        </w:rPr>
        <w:t xml:space="preserve"> 301%20Report%20FINAL.PDF.</w:t>
      </w:r>
      <w:bookmarkEnd w:id="4"/>
      <w:r w:rsidRPr="00CF56AA">
        <w:rPr>
          <w:sz w:val="28"/>
          <w:szCs w:val="28"/>
          <w:lang w:val="en-US"/>
        </w:rPr>
        <w:t xml:space="preserve"> </w:t>
      </w:r>
    </w:p>
    <w:p w:rsidR="005C2BB2" w:rsidRPr="00CF56AA" w:rsidRDefault="005C2BB2" w:rsidP="005C2BB2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bookmarkStart w:id="5" w:name="_Ref35601298"/>
      <w:r w:rsidRPr="00CF56AA">
        <w:rPr>
          <w:sz w:val="28"/>
          <w:szCs w:val="28"/>
          <w:lang w:val="en-US"/>
        </w:rPr>
        <w:t>IIPA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Written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Submission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Regarding</w:t>
      </w:r>
      <w:r w:rsidRPr="00CF56AA">
        <w:rPr>
          <w:sz w:val="28"/>
          <w:szCs w:val="28"/>
          <w:lang w:val="uk-UA"/>
        </w:rPr>
        <w:t xml:space="preserve"> 2018 </w:t>
      </w:r>
      <w:r w:rsidRPr="00CF56AA">
        <w:rPr>
          <w:sz w:val="28"/>
          <w:szCs w:val="28"/>
          <w:lang w:val="en-US"/>
        </w:rPr>
        <w:t>Special</w:t>
      </w:r>
      <w:r w:rsidRPr="00CF56AA">
        <w:rPr>
          <w:sz w:val="28"/>
          <w:szCs w:val="28"/>
          <w:lang w:val="uk-UA"/>
        </w:rPr>
        <w:t xml:space="preserve"> 301 </w:t>
      </w:r>
      <w:r w:rsidRPr="00CF56AA">
        <w:rPr>
          <w:sz w:val="28"/>
          <w:szCs w:val="28"/>
          <w:lang w:val="en-US"/>
        </w:rPr>
        <w:t>Review</w:t>
      </w:r>
      <w:r w:rsidRPr="00CF56AA">
        <w:rPr>
          <w:sz w:val="28"/>
          <w:szCs w:val="28"/>
          <w:lang w:val="uk-UA"/>
        </w:rPr>
        <w:t xml:space="preserve">: </w:t>
      </w:r>
      <w:r w:rsidRPr="00CF56AA">
        <w:rPr>
          <w:sz w:val="28"/>
          <w:szCs w:val="28"/>
          <w:lang w:val="en-US"/>
        </w:rPr>
        <w:t>Identification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of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Countries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Under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Section</w:t>
      </w:r>
      <w:r w:rsidRPr="00CF56AA">
        <w:rPr>
          <w:sz w:val="28"/>
          <w:szCs w:val="28"/>
          <w:lang w:val="uk-UA"/>
        </w:rPr>
        <w:t xml:space="preserve"> 182 </w:t>
      </w:r>
      <w:r w:rsidRPr="00CF56AA">
        <w:rPr>
          <w:sz w:val="28"/>
          <w:szCs w:val="28"/>
          <w:lang w:val="en-US"/>
        </w:rPr>
        <w:t>of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the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Trade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Act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of</w:t>
      </w:r>
      <w:r w:rsidRPr="00CF56AA">
        <w:rPr>
          <w:sz w:val="28"/>
          <w:szCs w:val="28"/>
          <w:lang w:val="uk-UA"/>
        </w:rPr>
        <w:t xml:space="preserve"> 1974, </w:t>
      </w:r>
      <w:r w:rsidRPr="00CF56AA">
        <w:rPr>
          <w:sz w:val="28"/>
          <w:szCs w:val="28"/>
          <w:lang w:val="en-US"/>
        </w:rPr>
        <w:t>Mode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of</w:t>
      </w:r>
      <w:r w:rsidRPr="00CF56AA">
        <w:rPr>
          <w:sz w:val="28"/>
          <w:szCs w:val="28"/>
          <w:lang w:val="uk-UA"/>
        </w:rPr>
        <w:t xml:space="preserve"> </w:t>
      </w:r>
      <w:r w:rsidRPr="00CF56AA">
        <w:rPr>
          <w:sz w:val="28"/>
          <w:szCs w:val="28"/>
          <w:lang w:val="en-US"/>
        </w:rPr>
        <w:t>access</w:t>
      </w:r>
      <w:r w:rsidRPr="00CF56AA">
        <w:rPr>
          <w:sz w:val="28"/>
          <w:szCs w:val="28"/>
          <w:lang w:val="uk-UA"/>
        </w:rPr>
        <w:t xml:space="preserve"> : </w:t>
      </w:r>
      <w:hyperlink r:id="rId8" w:history="1">
        <w:r w:rsidRPr="00CF56AA">
          <w:rPr>
            <w:sz w:val="28"/>
            <w:szCs w:val="28"/>
            <w:lang w:val="en-US"/>
          </w:rPr>
          <w:t>https</w:t>
        </w:r>
        <w:r w:rsidRPr="00CF56AA">
          <w:rPr>
            <w:sz w:val="28"/>
            <w:szCs w:val="28"/>
            <w:lang w:val="uk-UA"/>
          </w:rPr>
          <w:t>://</w:t>
        </w:r>
        <w:proofErr w:type="spellStart"/>
        <w:r w:rsidRPr="00CF56AA">
          <w:rPr>
            <w:sz w:val="28"/>
            <w:szCs w:val="28"/>
            <w:lang w:val="en-US"/>
          </w:rPr>
          <w:t>torrentfreak</w:t>
        </w:r>
        <w:proofErr w:type="spellEnd"/>
        <w:r w:rsidRPr="00CF56AA">
          <w:rPr>
            <w:sz w:val="28"/>
            <w:szCs w:val="28"/>
            <w:lang w:val="uk-UA"/>
          </w:rPr>
          <w:t>.</w:t>
        </w:r>
        <w:r w:rsidRPr="00CF56AA">
          <w:rPr>
            <w:sz w:val="28"/>
            <w:szCs w:val="28"/>
            <w:lang w:val="en-US"/>
          </w:rPr>
          <w:t>com</w:t>
        </w:r>
        <w:r w:rsidRPr="00CF56AA">
          <w:rPr>
            <w:sz w:val="28"/>
            <w:szCs w:val="28"/>
            <w:lang w:val="uk-UA"/>
          </w:rPr>
          <w:t>/</w:t>
        </w:r>
        <w:r w:rsidRPr="00CF56AA">
          <w:rPr>
            <w:sz w:val="28"/>
            <w:szCs w:val="28"/>
            <w:lang w:val="en-US"/>
          </w:rPr>
          <w:t>images</w:t>
        </w:r>
        <w:r w:rsidRPr="00CF56AA">
          <w:rPr>
            <w:sz w:val="28"/>
            <w:szCs w:val="28"/>
            <w:lang w:val="uk-UA"/>
          </w:rPr>
          <w:t>/</w:t>
        </w:r>
        <w:r w:rsidRPr="00CF56AA">
          <w:rPr>
            <w:sz w:val="28"/>
            <w:szCs w:val="28"/>
            <w:lang w:val="en-US"/>
          </w:rPr>
          <w:t>IIPA</w:t>
        </w:r>
        <w:r w:rsidRPr="00CF56AA">
          <w:rPr>
            <w:sz w:val="28"/>
            <w:szCs w:val="28"/>
            <w:lang w:val="uk-UA"/>
          </w:rPr>
          <w:t>_2018_</w:t>
        </w:r>
        <w:r w:rsidRPr="00CF56AA">
          <w:rPr>
            <w:sz w:val="28"/>
            <w:szCs w:val="28"/>
            <w:lang w:val="en-US"/>
          </w:rPr>
          <w:t>Special</w:t>
        </w:r>
        <w:r w:rsidRPr="00CF56AA">
          <w:rPr>
            <w:sz w:val="28"/>
            <w:szCs w:val="28"/>
            <w:lang w:val="uk-UA"/>
          </w:rPr>
          <w:t>_301_</w:t>
        </w:r>
        <w:r w:rsidRPr="00CF56AA">
          <w:rPr>
            <w:sz w:val="28"/>
            <w:szCs w:val="28"/>
            <w:lang w:val="en-US"/>
          </w:rPr>
          <w:t>Review</w:t>
        </w:r>
        <w:r w:rsidRPr="00CF56AA">
          <w:rPr>
            <w:sz w:val="28"/>
            <w:szCs w:val="28"/>
            <w:lang w:val="uk-UA"/>
          </w:rPr>
          <w:t>_</w:t>
        </w:r>
        <w:r w:rsidRPr="00CF56AA">
          <w:rPr>
            <w:sz w:val="28"/>
            <w:szCs w:val="28"/>
            <w:lang w:val="en-US"/>
          </w:rPr>
          <w:t>Comments</w:t>
        </w:r>
        <w:r w:rsidRPr="00CF56AA">
          <w:rPr>
            <w:sz w:val="28"/>
            <w:szCs w:val="28"/>
            <w:lang w:val="uk-UA"/>
          </w:rPr>
          <w:t>.</w:t>
        </w:r>
        <w:proofErr w:type="spellStart"/>
        <w:r w:rsidRPr="00CF56AA">
          <w:rPr>
            <w:sz w:val="28"/>
            <w:szCs w:val="28"/>
            <w:lang w:val="en-US"/>
          </w:rPr>
          <w:t>pdf</w:t>
        </w:r>
        <w:proofErr w:type="spellEnd"/>
      </w:hyperlink>
      <w:bookmarkEnd w:id="5"/>
    </w:p>
    <w:p w:rsidR="005C2BB2" w:rsidRPr="00CF56AA" w:rsidRDefault="005C2BB2" w:rsidP="005C2BB2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bookmarkStart w:id="6" w:name="_Ref35601355"/>
      <w:r w:rsidRPr="00CF56AA">
        <w:rPr>
          <w:sz w:val="28"/>
          <w:szCs w:val="28"/>
          <w:lang w:val="uk-UA"/>
        </w:rPr>
        <w:lastRenderedPageBreak/>
        <w:t xml:space="preserve">Сайт Національного офісу інтелектуальної власності. – Режим доступу : </w:t>
      </w:r>
      <w:hyperlink r:id="rId9" w:history="1">
        <w:r w:rsidRPr="00CF56AA">
          <w:rPr>
            <w:sz w:val="28"/>
            <w:szCs w:val="28"/>
          </w:rPr>
          <w:t>http://nipo.org.ua/activity/stvorennya-efektivnogo-navchalnogo-centru-u-sferi-intelektualnoi-vlasnosti-iv</w:t>
        </w:r>
      </w:hyperlink>
      <w:bookmarkEnd w:id="6"/>
    </w:p>
    <w:p w:rsidR="00867430" w:rsidRPr="005C2BB2" w:rsidRDefault="00867430">
      <w:pPr>
        <w:rPr>
          <w:lang w:val="uk-UA"/>
        </w:rPr>
      </w:pPr>
    </w:p>
    <w:sectPr w:rsidR="00867430" w:rsidRPr="005C2BB2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7EDC2006"/>
    <w:multiLevelType w:val="hybridMultilevel"/>
    <w:tmpl w:val="A9DC1140"/>
    <w:lvl w:ilvl="0" w:tplc="36E204DA">
      <w:start w:val="1"/>
      <w:numFmt w:val="decimal"/>
      <w:lvlText w:val="%1."/>
      <w:lvlJc w:val="left"/>
      <w:pPr>
        <w:tabs>
          <w:tab w:val="num" w:pos="136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BB2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2BB2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B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BB2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BB2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rentfreak.com/images/IIPA_2018_Special_301_Review_Com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r.gov/about-us/policy-offices/press-office/press-releases/2018/april/ustr-releases-2018-special-301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ndfinance.com/images/upload/gift_report_2016_for_%20prin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j.kherson.ua/journal/economic_24/economic_24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po.org.ua/activity/stvorennya-efektivnogo-navchalnogo-centru-u-sferi-intelektualnoi-vlasnosti-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2021-05-26T07:15:00Z</dcterms:created>
  <dcterms:modified xsi:type="dcterms:W3CDTF">2021-05-26T07:20:00Z</dcterms:modified>
</cp:coreProperties>
</file>