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B6" w:rsidRPr="008638E0" w:rsidRDefault="007F5EB6" w:rsidP="007F5EB6">
      <w:pPr>
        <w:pStyle w:val="1"/>
        <w:jc w:val="left"/>
        <w:rPr>
          <w:i w:val="0"/>
          <w:sz w:val="28"/>
          <w:szCs w:val="28"/>
          <w:lang w:eastAsia="uk-UA"/>
        </w:rPr>
      </w:pPr>
      <w:bookmarkStart w:id="0" w:name="_Toc49254018"/>
      <w:proofErr w:type="spellStart"/>
      <w:r w:rsidRPr="008638E0">
        <w:rPr>
          <w:i w:val="0"/>
          <w:sz w:val="28"/>
          <w:szCs w:val="28"/>
          <w:lang w:eastAsia="uk-UA"/>
        </w:rPr>
        <w:t>Тіманюк</w:t>
      </w:r>
      <w:proofErr w:type="spellEnd"/>
      <w:r w:rsidRPr="008638E0">
        <w:rPr>
          <w:i w:val="0"/>
          <w:sz w:val="28"/>
          <w:szCs w:val="28"/>
          <w:lang w:eastAsia="uk-UA"/>
        </w:rPr>
        <w:t> В.М.</w:t>
      </w:r>
      <w:r w:rsidRPr="008638E0">
        <w:rPr>
          <w:i w:val="0"/>
          <w:sz w:val="28"/>
          <w:szCs w:val="28"/>
          <w:lang w:eastAsia="uk-UA"/>
        </w:rPr>
        <w:br/>
        <w:t>ВДОСКОНАЛЕННЯ МЕТОДИЧНИХ ПІДХОДІВ ДО ВИЗНАЧЕННЯ ЦІНИ ЛІЦЕНЗІЇ</w:t>
      </w:r>
      <w:bookmarkEnd w:id="0"/>
    </w:p>
    <w:p w:rsidR="007F5EB6" w:rsidRPr="00CF56AA" w:rsidRDefault="007F5EB6" w:rsidP="007F5EB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Питання про ціну ліцензії - один з найбільш складних і актуальних питань, що виникають при укладанні ліцензійних угод між господарюючими суб'єктами на об'єкти інтелектуальної власності (ОІВ) в ЗВО. Метою цих досліджень є вдосконалення методів встановлення «справедливої» ринкової ціни ліцензії на ОІВ у ЗВО. Для вирішення поставленої мети було проаналізовано методологічна основа оцінки ОІВ: вивчені особливості ОІВ в ЗВО, як учасників ринкової вартості , розглянуті види вартості ОІВ; досліджені різні підходи для оцінки ОІВ: порівняльний, витратний, дохідний. Були визначені основні фактори, що впливають на ціну ліцензії, серед яких: очікуване якість ОІВ за ліцензією, ефективність ОІВ, передбачуваний попит на ОІВ, очікувані обсяги виробництва, ціна нового інтелектуального продукту  на  потенційному ринку збуту, роялті, що визначається на весь період дії ліцензії і т. д.</w:t>
      </w:r>
    </w:p>
    <w:p w:rsidR="007F5EB6" w:rsidRPr="00CF56AA" w:rsidRDefault="007F5EB6" w:rsidP="007F5EB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Так як розрахунок ціни ліцензії неможливий без визначення ставки роялті (відрахувань від вартості реалізованої ліцензіатом продукції за ліцензією) цьому питанню приділяли особливу увагу. Було встановлений, що </w:t>
      </w:r>
      <w:proofErr w:type="spellStart"/>
      <w:r w:rsidRPr="00CF56AA">
        <w:rPr>
          <w:sz w:val="28"/>
          <w:szCs w:val="28"/>
          <w:lang w:val="uk-UA"/>
        </w:rPr>
        <w:t>обгрунтування</w:t>
      </w:r>
      <w:proofErr w:type="spellEnd"/>
      <w:r w:rsidRPr="00CF56AA">
        <w:rPr>
          <w:sz w:val="28"/>
          <w:szCs w:val="28"/>
          <w:lang w:val="uk-UA"/>
        </w:rPr>
        <w:t xml:space="preserve"> ставки роялті залежить від: вибору методу розрахунку роялті; визначення моделі зміни базової ставки роялті; визначення частки, яка виплачується ліцензіару; аналізу і оцінки вагомості факторів, що впливають на величину роялті. В якості основних факторів, що впливають на величину роялті в ЗВО визначені наступні: рівень патентного захисту ОІВ; обсяг переданих прав; рівень новизни переданого за ліцензією ОІВ і, власне, рівень монополії ОІВ на ринку; рівень ефективності ОІВ; територія охоплення ліцензії; рівень комерційного ризику, пов'язаного з використанням (впровадженням у виробництво, виведенням на ринок) продукту, виробленого із застосуванням ОІВ. Розроблено також шкала роялті в залежності від обсягу продажів. В результаті досліджень була виведена формула для розрахунку роялті.</w:t>
      </w: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                                         </w:t>
      </w:r>
      <w:r w:rsidRPr="00CF56AA">
        <w:rPr>
          <w:rFonts w:ascii="Calibri" w:hAnsi="Calibri"/>
          <w:position w:val="-30"/>
          <w:sz w:val="22"/>
          <w:szCs w:val="22"/>
        </w:rPr>
        <w:object w:dxaOrig="42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2pt;height:44.9pt" o:ole="">
            <v:imagedata r:id="rId5" o:title=""/>
          </v:shape>
          <o:OLEObject Type="Embed" ProgID="Equation.3" ShapeID="_x0000_i1025" DrawAspect="Content" ObjectID="_1683529595" r:id="rId6"/>
        </w:object>
      </w:r>
      <w:r w:rsidRPr="00CF56AA">
        <w:rPr>
          <w:sz w:val="28"/>
          <w:szCs w:val="28"/>
          <w:lang w:val="uk-UA"/>
        </w:rPr>
        <w:t>де</w:t>
      </w: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  <w:proofErr w:type="spellStart"/>
      <w:r w:rsidRPr="00CF56AA">
        <w:rPr>
          <w:sz w:val="28"/>
          <w:szCs w:val="28"/>
          <w:lang w:val="uk-UA"/>
        </w:rPr>
        <w:t>З</w:t>
      </w:r>
      <w:r w:rsidRPr="00CF56AA">
        <w:rPr>
          <w:lang w:val="uk-UA"/>
        </w:rPr>
        <w:t>i</w:t>
      </w:r>
      <w:proofErr w:type="spellEnd"/>
      <w:r w:rsidRPr="00CF56AA">
        <w:rPr>
          <w:lang w:val="uk-UA"/>
        </w:rPr>
        <w:t xml:space="preserve"> </w:t>
      </w:r>
      <w:r w:rsidRPr="00CF56AA">
        <w:rPr>
          <w:sz w:val="28"/>
          <w:szCs w:val="28"/>
          <w:lang w:val="uk-UA"/>
        </w:rPr>
        <w:t>- витрати ліцензіата в i-</w:t>
      </w:r>
      <w:proofErr w:type="spellStart"/>
      <w:r w:rsidRPr="00CF56AA">
        <w:rPr>
          <w:sz w:val="28"/>
          <w:szCs w:val="28"/>
          <w:lang w:val="uk-UA"/>
        </w:rPr>
        <w:t>му</w:t>
      </w:r>
      <w:proofErr w:type="spellEnd"/>
      <w:r w:rsidRPr="00CF56AA">
        <w:rPr>
          <w:sz w:val="28"/>
          <w:szCs w:val="28"/>
          <w:lang w:val="uk-UA"/>
        </w:rPr>
        <w:t xml:space="preserve"> році дії ліцензії;</w:t>
      </w: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  <w:proofErr w:type="spellStart"/>
      <w:r w:rsidRPr="00CF56AA">
        <w:rPr>
          <w:sz w:val="28"/>
          <w:szCs w:val="28"/>
          <w:lang w:val="uk-UA"/>
        </w:rPr>
        <w:t>R</w:t>
      </w:r>
      <w:r w:rsidRPr="00CF56AA">
        <w:rPr>
          <w:lang w:val="uk-UA"/>
        </w:rPr>
        <w:t>баз</w:t>
      </w:r>
      <w:proofErr w:type="spellEnd"/>
      <w:r w:rsidRPr="00CF56AA">
        <w:rPr>
          <w:sz w:val="28"/>
          <w:szCs w:val="28"/>
          <w:lang w:val="uk-UA"/>
        </w:rPr>
        <w:t xml:space="preserve"> - середньогалузева ставка роялті;</w:t>
      </w: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  <w:proofErr w:type="spellStart"/>
      <w:r w:rsidRPr="00CF56AA">
        <w:rPr>
          <w:sz w:val="28"/>
          <w:szCs w:val="28"/>
          <w:lang w:val="uk-UA"/>
        </w:rPr>
        <w:t>С</w:t>
      </w:r>
      <w:r w:rsidRPr="00CF56AA">
        <w:rPr>
          <w:lang w:val="uk-UA"/>
        </w:rPr>
        <w:t>n</w:t>
      </w:r>
      <w:proofErr w:type="spellEnd"/>
      <w:r w:rsidRPr="00CF56AA">
        <w:rPr>
          <w:sz w:val="28"/>
          <w:szCs w:val="28"/>
          <w:lang w:val="uk-UA"/>
        </w:rPr>
        <w:t xml:space="preserve"> - попит на ОІВ за ліцензією;</w:t>
      </w:r>
    </w:p>
    <w:p w:rsidR="007F5EB6" w:rsidRPr="00CF56AA" w:rsidRDefault="007F5EB6" w:rsidP="007F5EB6">
      <w:pPr>
        <w:widowControl/>
        <w:autoSpaceDE/>
        <w:autoSpaceDN/>
        <w:adjustRightInd/>
        <w:ind w:left="-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r - коефіцієнт дисконтування.</w:t>
      </w:r>
    </w:p>
    <w:p w:rsidR="007F5EB6" w:rsidRPr="00CF56AA" w:rsidRDefault="007F5EB6" w:rsidP="007F5EB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Облік витрат при розрахунку ціни ліцензії дозволить компенсувати витрати на НДДКР, шляхом отримання відрахувань у вигляді роялті. </w:t>
      </w:r>
    </w:p>
    <w:p w:rsidR="007F5EB6" w:rsidRPr="00CF56AA" w:rsidRDefault="007F5EB6" w:rsidP="007F5EB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Крім того основою методів економічного оцінювання ОІВ є застосування експертного аналізу, це вимагає постійного вдосконалення і розвитку оціночної системи: коригування переліку критеріїв та показників, що визначають оцінку, уточнення порівняльної вагомості критеріїв і показників, удосконалення принципів колективного прийняття рішень.</w:t>
      </w:r>
    </w:p>
    <w:p w:rsidR="00867430" w:rsidRPr="007F5EB6" w:rsidRDefault="00867430">
      <w:pPr>
        <w:rPr>
          <w:lang w:val="uk-UA"/>
        </w:rPr>
      </w:pPr>
    </w:p>
    <w:sectPr w:rsidR="00867430" w:rsidRPr="007F5EB6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EB6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7F5EB6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B6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B6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2021-05-26T07:15:00Z</dcterms:created>
  <dcterms:modified xsi:type="dcterms:W3CDTF">2021-05-26T07:20:00Z</dcterms:modified>
</cp:coreProperties>
</file>