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F0" w:rsidRPr="008424A4" w:rsidRDefault="007E3BF0" w:rsidP="007E3BF0">
      <w:pPr>
        <w:pStyle w:val="1"/>
        <w:jc w:val="left"/>
        <w:rPr>
          <w:i w:val="0"/>
          <w:sz w:val="28"/>
          <w:szCs w:val="28"/>
        </w:rPr>
      </w:pPr>
      <w:bookmarkStart w:id="0" w:name="_Toc49254009"/>
      <w:r w:rsidRPr="008424A4">
        <w:rPr>
          <w:i w:val="0"/>
          <w:sz w:val="28"/>
          <w:szCs w:val="28"/>
        </w:rPr>
        <w:t>Дегтярьова О.А.</w:t>
      </w:r>
      <w:r w:rsidRPr="008424A4">
        <w:rPr>
          <w:i w:val="0"/>
          <w:sz w:val="28"/>
          <w:szCs w:val="28"/>
        </w:rPr>
        <w:br/>
        <w:t xml:space="preserve">Дослідження </w:t>
      </w:r>
      <w:proofErr w:type="spellStart"/>
      <w:r w:rsidRPr="008424A4">
        <w:rPr>
          <w:i w:val="0"/>
          <w:sz w:val="28"/>
          <w:szCs w:val="28"/>
        </w:rPr>
        <w:t>ІТ-компетентності</w:t>
      </w:r>
      <w:proofErr w:type="spellEnd"/>
      <w:r w:rsidRPr="008424A4">
        <w:rPr>
          <w:i w:val="0"/>
          <w:sz w:val="28"/>
          <w:szCs w:val="28"/>
        </w:rPr>
        <w:t xml:space="preserve"> керівників закладів загальної середньої освіти як складової професійної компетентності</w:t>
      </w:r>
      <w:bookmarkEnd w:id="0"/>
    </w:p>
    <w:p w:rsidR="007E3BF0" w:rsidRPr="00310249" w:rsidRDefault="007E3BF0" w:rsidP="007E3BF0">
      <w:pPr>
        <w:ind w:firstLine="709"/>
        <w:jc w:val="both"/>
        <w:rPr>
          <w:bCs/>
          <w:sz w:val="28"/>
          <w:szCs w:val="28"/>
          <w:lang w:val="uk-UA" w:eastAsia="en-US"/>
        </w:rPr>
      </w:pPr>
      <w:r w:rsidRPr="00310249">
        <w:rPr>
          <w:rFonts w:ascii="Times New Roman CYR" w:hAnsi="Times New Roman CYR" w:cs="Times New Roman CYR"/>
          <w:bCs/>
          <w:sz w:val="28"/>
          <w:szCs w:val="28"/>
          <w:lang w:val="uk-UA"/>
        </w:rPr>
        <w:t xml:space="preserve">В умовах запровадження в Україні загальнонаціонального карантину на підставі Постанови Кабінету Міністрів України </w:t>
      </w:r>
      <w:r w:rsidRPr="00310249">
        <w:rPr>
          <w:color w:val="1D1D1B"/>
          <w:spacing w:val="15"/>
          <w:sz w:val="28"/>
          <w:szCs w:val="28"/>
          <w:lang w:val="uk-UA" w:eastAsia="uk-UA"/>
        </w:rPr>
        <w:t>від 11 березня 2020 року № 211 «</w:t>
      </w:r>
      <w:r w:rsidRPr="00310249">
        <w:rPr>
          <w:color w:val="1D1D1B"/>
          <w:sz w:val="28"/>
          <w:szCs w:val="28"/>
          <w:lang w:val="uk-UA" w:eastAsia="uk-UA"/>
        </w:rPr>
        <w:t xml:space="preserve">Про запобігання поширенню на території України </w:t>
      </w:r>
      <w:proofErr w:type="spellStart"/>
      <w:r w:rsidRPr="00310249">
        <w:rPr>
          <w:color w:val="1D1D1B"/>
          <w:sz w:val="28"/>
          <w:szCs w:val="28"/>
          <w:lang w:val="uk-UA" w:eastAsia="uk-UA"/>
        </w:rPr>
        <w:t>коронавірусу</w:t>
      </w:r>
      <w:proofErr w:type="spellEnd"/>
      <w:r w:rsidRPr="00310249">
        <w:rPr>
          <w:color w:val="1D1D1B"/>
          <w:sz w:val="28"/>
          <w:szCs w:val="28"/>
          <w:lang w:val="uk-UA" w:eastAsia="uk-UA"/>
        </w:rPr>
        <w:t xml:space="preserve"> COVID-19» набуло ще більшої актуальності питання </w:t>
      </w:r>
      <w:proofErr w:type="spellStart"/>
      <w:r w:rsidRPr="00310249">
        <w:rPr>
          <w:color w:val="1D1D1B"/>
          <w:sz w:val="28"/>
          <w:szCs w:val="28"/>
          <w:lang w:val="uk-UA" w:eastAsia="uk-UA"/>
        </w:rPr>
        <w:t>ІТ-компетентності</w:t>
      </w:r>
      <w:proofErr w:type="spellEnd"/>
      <w:r w:rsidRPr="00310249">
        <w:rPr>
          <w:color w:val="1D1D1B"/>
          <w:sz w:val="28"/>
          <w:szCs w:val="28"/>
          <w:lang w:val="uk-UA" w:eastAsia="uk-UA"/>
        </w:rPr>
        <w:t xml:space="preserve"> освітян, зокрема керівників закладів загальної середньої освіти [1]. </w:t>
      </w:r>
      <w:r w:rsidRPr="00310249">
        <w:rPr>
          <w:bCs/>
          <w:sz w:val="28"/>
          <w:szCs w:val="28"/>
          <w:lang w:val="uk-UA" w:eastAsia="en-US"/>
        </w:rPr>
        <w:t>Кваліфікаційні характеристики посад педагогічних та науково-педагогічних працівників навчальних закладів та установ освіти, затверджені наказом Міністерства освіти і науки України від № 665 від 01.06.2013 «Про затвердження кваліфікаційних характеристик професій (посад) педагогічних та науково-педагогічних працівників навчальних закладів», до головних складових компетентності педагогічних працівників відносять: професійну, комунікативну, інформаційну та правову [2].</w:t>
      </w:r>
    </w:p>
    <w:p w:rsidR="007E3BF0" w:rsidRPr="00310249" w:rsidRDefault="007E3BF0" w:rsidP="007E3BF0">
      <w:pPr>
        <w:ind w:firstLine="709"/>
        <w:jc w:val="both"/>
        <w:rPr>
          <w:bCs/>
          <w:sz w:val="28"/>
          <w:szCs w:val="28"/>
          <w:lang w:val="uk-UA"/>
        </w:rPr>
      </w:pPr>
      <w:r w:rsidRPr="00310249">
        <w:rPr>
          <w:sz w:val="28"/>
          <w:szCs w:val="28"/>
          <w:lang w:val="uk-UA"/>
        </w:rPr>
        <w:t>За визначенням О. </w:t>
      </w:r>
      <w:proofErr w:type="spellStart"/>
      <w:r w:rsidRPr="00310249">
        <w:rPr>
          <w:sz w:val="28"/>
          <w:szCs w:val="28"/>
          <w:lang w:val="uk-UA"/>
        </w:rPr>
        <w:t>Спіріна</w:t>
      </w:r>
      <w:proofErr w:type="spellEnd"/>
      <w:r w:rsidRPr="00310249">
        <w:rPr>
          <w:sz w:val="28"/>
          <w:szCs w:val="28"/>
          <w:lang w:val="uk-UA"/>
        </w:rPr>
        <w:t xml:space="preserve"> під інформаційно-комунікаційною компетентністю розуміють підтверджену здатність особистості застосовувати на практиці інформаційно-комунікаційні технології для задоволення власних потреб і розв’язування суспільно-значущих, зокрема, професійних, задач у певній предметній галузі або виді діяльності [3]. В. </w:t>
      </w:r>
      <w:proofErr w:type="spellStart"/>
      <w:r w:rsidRPr="00310249">
        <w:rPr>
          <w:sz w:val="28"/>
          <w:szCs w:val="28"/>
          <w:lang w:val="uk-UA"/>
        </w:rPr>
        <w:t>Лунячек</w:t>
      </w:r>
      <w:proofErr w:type="spellEnd"/>
      <w:r w:rsidRPr="00310249">
        <w:rPr>
          <w:sz w:val="28"/>
          <w:szCs w:val="28"/>
          <w:lang w:val="uk-UA"/>
        </w:rPr>
        <w:t xml:space="preserve"> підкреслює, що «оволодівши інформаційно-комунікаційною компетентністю, керівник повинен уміти працювати зі стандартним пакетом </w:t>
      </w:r>
      <w:r w:rsidRPr="00310249">
        <w:rPr>
          <w:bCs/>
          <w:sz w:val="28"/>
          <w:szCs w:val="28"/>
          <w:lang w:val="uk-UA"/>
        </w:rPr>
        <w:t>Microsoft Office, користуватися засобами електронної пошти, інформаційними ресурсами мережі Інтернет, уміти організовувати відповідну роботу в підпорядкованих закладах та установах освіти» [4].</w:t>
      </w:r>
    </w:p>
    <w:p w:rsidR="007E3BF0" w:rsidRPr="00310249" w:rsidRDefault="007E3BF0" w:rsidP="007E3BF0">
      <w:pPr>
        <w:ind w:firstLine="709"/>
        <w:jc w:val="both"/>
        <w:rPr>
          <w:sz w:val="28"/>
          <w:szCs w:val="28"/>
          <w:lang w:val="uk-UA"/>
        </w:rPr>
      </w:pPr>
      <w:r w:rsidRPr="00310249">
        <w:rPr>
          <w:color w:val="1D1D1B"/>
          <w:sz w:val="28"/>
          <w:szCs w:val="28"/>
          <w:lang w:val="uk-UA" w:eastAsia="uk-UA"/>
        </w:rPr>
        <w:t xml:space="preserve">З 2015 року нами досліджується </w:t>
      </w:r>
      <w:proofErr w:type="spellStart"/>
      <w:r w:rsidRPr="00310249">
        <w:rPr>
          <w:color w:val="1D1D1B"/>
          <w:sz w:val="28"/>
          <w:szCs w:val="28"/>
          <w:lang w:val="uk-UA" w:eastAsia="uk-UA"/>
        </w:rPr>
        <w:t>ІТ-компетентність</w:t>
      </w:r>
      <w:proofErr w:type="spellEnd"/>
      <w:r w:rsidRPr="00310249">
        <w:rPr>
          <w:color w:val="1D1D1B"/>
          <w:sz w:val="28"/>
          <w:szCs w:val="28"/>
          <w:lang w:val="uk-UA" w:eastAsia="uk-UA"/>
        </w:rPr>
        <w:t>, як складова професійної компетентності керівників закладів ЗСО. Деякі показники дослідження були перевірені під час загальнонаціонального карантину у формі експрес-опитування керівників. Усі дослідження проводилися серед керівників ЗЗСО м. Харкова та анонімно.</w:t>
      </w:r>
      <w:r w:rsidRPr="00310249">
        <w:rPr>
          <w:color w:val="1D1D1B"/>
          <w:sz w:val="28"/>
          <w:szCs w:val="28"/>
          <w:lang w:eastAsia="uk-UA"/>
        </w:rPr>
        <w:t xml:space="preserve"> </w:t>
      </w:r>
      <w:r w:rsidRPr="00310249">
        <w:rPr>
          <w:color w:val="1D1D1B"/>
          <w:sz w:val="28"/>
          <w:szCs w:val="28"/>
          <w:lang w:val="uk-UA" w:eastAsia="uk-UA"/>
        </w:rPr>
        <w:t xml:space="preserve">За результатами спостереження, яке підкріплюється результатами опитувань (письмових, електронних) у різні проміжки часу, можна стверджувати, що в основному </w:t>
      </w:r>
      <w:r w:rsidRPr="00310249">
        <w:rPr>
          <w:sz w:val="28"/>
          <w:szCs w:val="28"/>
          <w:lang w:val="uk-UA"/>
        </w:rPr>
        <w:t xml:space="preserve">керівники закладів ЗСО обізнані з інформаційно-комунікаційними технологіями і більшість з них вважає себе впевненими користувачами ПК та Інтернету: робота в офісних програмах, у Всесвітній мережі Інтернет, з електронною поштою та </w:t>
      </w:r>
      <w:proofErr w:type="spellStart"/>
      <w:r w:rsidRPr="00310249">
        <w:rPr>
          <w:sz w:val="28"/>
          <w:szCs w:val="28"/>
          <w:lang w:val="uk-UA"/>
        </w:rPr>
        <w:t>веб-сервісами</w:t>
      </w:r>
      <w:proofErr w:type="spellEnd"/>
      <w:r w:rsidRPr="00310249">
        <w:rPr>
          <w:sz w:val="28"/>
          <w:szCs w:val="28"/>
          <w:lang w:val="uk-UA"/>
        </w:rPr>
        <w:t xml:space="preserve">. </w:t>
      </w:r>
    </w:p>
    <w:p w:rsidR="007E3BF0" w:rsidRPr="00310249" w:rsidRDefault="007E3BF0" w:rsidP="007E3BF0">
      <w:pPr>
        <w:widowControl/>
        <w:autoSpaceDE/>
        <w:autoSpaceDN/>
        <w:adjustRightInd/>
        <w:ind w:firstLine="709"/>
        <w:jc w:val="both"/>
        <w:rPr>
          <w:sz w:val="28"/>
          <w:szCs w:val="28"/>
          <w:lang w:val="uk-UA"/>
        </w:rPr>
      </w:pPr>
      <w:r w:rsidRPr="00310249">
        <w:rPr>
          <w:sz w:val="28"/>
          <w:szCs w:val="28"/>
          <w:lang w:val="uk-UA"/>
        </w:rPr>
        <w:t xml:space="preserve">Самооцінка за відповідними критеріями щодо рівня володіння </w:t>
      </w:r>
      <w:proofErr w:type="spellStart"/>
      <w:r w:rsidRPr="00310249">
        <w:rPr>
          <w:sz w:val="28"/>
          <w:szCs w:val="28"/>
          <w:lang w:val="uk-UA"/>
        </w:rPr>
        <w:t>ІТ-технологіями</w:t>
      </w:r>
      <w:proofErr w:type="spellEnd"/>
      <w:r w:rsidRPr="00310249">
        <w:rPr>
          <w:sz w:val="28"/>
          <w:szCs w:val="28"/>
          <w:lang w:val="uk-UA"/>
        </w:rPr>
        <w:t xml:space="preserve"> представлена у табл. </w:t>
      </w:r>
    </w:p>
    <w:p w:rsidR="007E3BF0" w:rsidRPr="00310249" w:rsidRDefault="007E3BF0" w:rsidP="007E3BF0">
      <w:pPr>
        <w:widowControl/>
        <w:autoSpaceDE/>
        <w:autoSpaceDN/>
        <w:adjustRightInd/>
        <w:ind w:firstLine="709"/>
        <w:jc w:val="center"/>
        <w:rPr>
          <w:sz w:val="28"/>
          <w:szCs w:val="28"/>
          <w:lang w:val="uk-UA"/>
        </w:rPr>
      </w:pPr>
      <w:r w:rsidRPr="00310249">
        <w:rPr>
          <w:sz w:val="28"/>
          <w:szCs w:val="28"/>
          <w:lang w:val="uk-UA"/>
        </w:rPr>
        <w:t>Результати опитування серед керівників закладів ЗСО</w:t>
      </w:r>
    </w:p>
    <w:p w:rsidR="007E3BF0" w:rsidRPr="00310249" w:rsidRDefault="007E3BF0" w:rsidP="007E3BF0">
      <w:pPr>
        <w:widowControl/>
        <w:autoSpaceDE/>
        <w:autoSpaceDN/>
        <w:adjustRightInd/>
        <w:ind w:firstLine="709"/>
        <w:jc w:val="center"/>
        <w:rPr>
          <w:sz w:val="28"/>
          <w:szCs w:val="28"/>
          <w:lang w:val="uk-UA"/>
        </w:rPr>
      </w:pPr>
      <w:r w:rsidRPr="00310249">
        <w:rPr>
          <w:sz w:val="28"/>
          <w:szCs w:val="28"/>
          <w:lang w:val="uk-UA"/>
        </w:rPr>
        <w:t xml:space="preserve">щодо самооцінки рівня володіння </w:t>
      </w:r>
      <w:proofErr w:type="spellStart"/>
      <w:r w:rsidRPr="00310249">
        <w:rPr>
          <w:sz w:val="28"/>
          <w:szCs w:val="28"/>
          <w:lang w:val="uk-UA"/>
        </w:rPr>
        <w:t>ІТ-технологіями</w:t>
      </w:r>
      <w:proofErr w:type="spellEnd"/>
    </w:p>
    <w:tbl>
      <w:tblPr>
        <w:tblStyle w:val="11"/>
        <w:tblW w:w="10266" w:type="dxa"/>
        <w:tblLook w:val="04A0"/>
      </w:tblPr>
      <w:tblGrid>
        <w:gridCol w:w="1850"/>
        <w:gridCol w:w="2853"/>
        <w:gridCol w:w="2853"/>
        <w:gridCol w:w="2710"/>
      </w:tblGrid>
      <w:tr w:rsidR="007E3BF0" w:rsidRPr="008424A4" w:rsidTr="00217834">
        <w:trPr>
          <w:trHeight w:val="1176"/>
        </w:trPr>
        <w:tc>
          <w:tcPr>
            <w:tcW w:w="1850" w:type="dxa"/>
          </w:tcPr>
          <w:p w:rsidR="007E3BF0" w:rsidRPr="008424A4" w:rsidRDefault="007E3BF0" w:rsidP="00217834">
            <w:pPr>
              <w:widowControl/>
              <w:autoSpaceDE/>
              <w:autoSpaceDN/>
              <w:adjustRightInd/>
              <w:jc w:val="center"/>
              <w:rPr>
                <w:sz w:val="24"/>
                <w:szCs w:val="24"/>
                <w:lang w:val="uk-UA"/>
              </w:rPr>
            </w:pPr>
            <w:r w:rsidRPr="008424A4">
              <w:rPr>
                <w:sz w:val="24"/>
                <w:szCs w:val="24"/>
                <w:lang w:val="uk-UA"/>
              </w:rPr>
              <w:t xml:space="preserve">Рівень володіння </w:t>
            </w:r>
            <w:proofErr w:type="spellStart"/>
            <w:r w:rsidRPr="008424A4">
              <w:rPr>
                <w:sz w:val="24"/>
                <w:szCs w:val="24"/>
                <w:lang w:val="uk-UA"/>
              </w:rPr>
              <w:t>ІТ-технологіями</w:t>
            </w:r>
            <w:proofErr w:type="spellEnd"/>
          </w:p>
        </w:tc>
        <w:tc>
          <w:tcPr>
            <w:tcW w:w="2853" w:type="dxa"/>
          </w:tcPr>
          <w:p w:rsidR="007E3BF0" w:rsidRPr="008424A4" w:rsidRDefault="007E3BF0" w:rsidP="00217834">
            <w:pPr>
              <w:widowControl/>
              <w:autoSpaceDE/>
              <w:autoSpaceDN/>
              <w:adjustRightInd/>
              <w:jc w:val="center"/>
              <w:rPr>
                <w:sz w:val="24"/>
                <w:szCs w:val="24"/>
                <w:lang w:val="uk-UA"/>
              </w:rPr>
            </w:pPr>
            <w:r w:rsidRPr="008424A4">
              <w:rPr>
                <w:sz w:val="24"/>
                <w:szCs w:val="24"/>
                <w:lang w:val="uk-UA"/>
              </w:rPr>
              <w:t>Показник 2015 року (у відсотках від загальної кількості опитуваних)</w:t>
            </w:r>
          </w:p>
        </w:tc>
        <w:tc>
          <w:tcPr>
            <w:tcW w:w="2853" w:type="dxa"/>
          </w:tcPr>
          <w:p w:rsidR="007E3BF0" w:rsidRPr="008424A4" w:rsidRDefault="007E3BF0" w:rsidP="00217834">
            <w:pPr>
              <w:widowControl/>
              <w:autoSpaceDE/>
              <w:autoSpaceDN/>
              <w:adjustRightInd/>
              <w:jc w:val="center"/>
              <w:rPr>
                <w:sz w:val="24"/>
                <w:szCs w:val="24"/>
                <w:lang w:val="uk-UA"/>
              </w:rPr>
            </w:pPr>
            <w:r w:rsidRPr="008424A4">
              <w:rPr>
                <w:sz w:val="24"/>
                <w:szCs w:val="24"/>
                <w:lang w:val="uk-UA"/>
              </w:rPr>
              <w:t>Показник 2020 року (у відсотках від загальної кількості опитуваних)</w:t>
            </w:r>
          </w:p>
        </w:tc>
        <w:tc>
          <w:tcPr>
            <w:tcW w:w="2710" w:type="dxa"/>
          </w:tcPr>
          <w:p w:rsidR="007E3BF0" w:rsidRPr="008424A4" w:rsidRDefault="007E3BF0" w:rsidP="00217834">
            <w:pPr>
              <w:widowControl/>
              <w:autoSpaceDE/>
              <w:autoSpaceDN/>
              <w:adjustRightInd/>
              <w:jc w:val="center"/>
              <w:rPr>
                <w:sz w:val="24"/>
                <w:szCs w:val="24"/>
                <w:lang w:val="uk-UA"/>
              </w:rPr>
            </w:pPr>
            <w:r w:rsidRPr="008424A4">
              <w:rPr>
                <w:sz w:val="24"/>
                <w:szCs w:val="24"/>
                <w:lang w:val="uk-UA"/>
              </w:rPr>
              <w:t>Динаміка показника (у відсотках від загальної кількості опитуваних)</w:t>
            </w:r>
          </w:p>
        </w:tc>
      </w:tr>
      <w:tr w:rsidR="007E3BF0" w:rsidRPr="008424A4" w:rsidTr="00217834">
        <w:trPr>
          <w:trHeight w:val="371"/>
        </w:trPr>
        <w:tc>
          <w:tcPr>
            <w:tcW w:w="1850"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Початковий</w:t>
            </w:r>
          </w:p>
        </w:tc>
        <w:tc>
          <w:tcPr>
            <w:tcW w:w="2853"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 xml:space="preserve">5,7 % </w:t>
            </w:r>
          </w:p>
        </w:tc>
        <w:tc>
          <w:tcPr>
            <w:tcW w:w="2853"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0 %</w:t>
            </w:r>
          </w:p>
        </w:tc>
        <w:tc>
          <w:tcPr>
            <w:tcW w:w="2710"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- 5,7%</w:t>
            </w:r>
          </w:p>
        </w:tc>
      </w:tr>
      <w:tr w:rsidR="007E3BF0" w:rsidRPr="008424A4" w:rsidTr="00217834">
        <w:trPr>
          <w:trHeight w:val="371"/>
        </w:trPr>
        <w:tc>
          <w:tcPr>
            <w:tcW w:w="1850"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Середній</w:t>
            </w:r>
          </w:p>
        </w:tc>
        <w:tc>
          <w:tcPr>
            <w:tcW w:w="2853"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25,7 %</w:t>
            </w:r>
          </w:p>
        </w:tc>
        <w:tc>
          <w:tcPr>
            <w:tcW w:w="2853"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28,1 %</w:t>
            </w:r>
          </w:p>
        </w:tc>
        <w:tc>
          <w:tcPr>
            <w:tcW w:w="2710"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+ 2,4%</w:t>
            </w:r>
          </w:p>
        </w:tc>
      </w:tr>
      <w:tr w:rsidR="007E3BF0" w:rsidRPr="008424A4" w:rsidTr="00217834">
        <w:trPr>
          <w:trHeight w:val="402"/>
        </w:trPr>
        <w:tc>
          <w:tcPr>
            <w:tcW w:w="1850"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Достатній</w:t>
            </w:r>
          </w:p>
        </w:tc>
        <w:tc>
          <w:tcPr>
            <w:tcW w:w="2853"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51,4 %</w:t>
            </w:r>
          </w:p>
        </w:tc>
        <w:tc>
          <w:tcPr>
            <w:tcW w:w="2853"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50,4%</w:t>
            </w:r>
          </w:p>
        </w:tc>
        <w:tc>
          <w:tcPr>
            <w:tcW w:w="2710"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- 1%</w:t>
            </w:r>
          </w:p>
        </w:tc>
      </w:tr>
      <w:tr w:rsidR="007E3BF0" w:rsidRPr="008424A4" w:rsidTr="00217834">
        <w:trPr>
          <w:trHeight w:val="371"/>
        </w:trPr>
        <w:tc>
          <w:tcPr>
            <w:tcW w:w="1850"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Високий</w:t>
            </w:r>
          </w:p>
        </w:tc>
        <w:tc>
          <w:tcPr>
            <w:tcW w:w="2853"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17,1 %</w:t>
            </w:r>
          </w:p>
        </w:tc>
        <w:tc>
          <w:tcPr>
            <w:tcW w:w="2853"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31,5%</w:t>
            </w:r>
          </w:p>
        </w:tc>
        <w:tc>
          <w:tcPr>
            <w:tcW w:w="2710" w:type="dxa"/>
          </w:tcPr>
          <w:p w:rsidR="007E3BF0" w:rsidRPr="008424A4" w:rsidRDefault="007E3BF0" w:rsidP="00217834">
            <w:pPr>
              <w:widowControl/>
              <w:autoSpaceDE/>
              <w:autoSpaceDN/>
              <w:adjustRightInd/>
              <w:jc w:val="both"/>
              <w:rPr>
                <w:sz w:val="24"/>
                <w:szCs w:val="24"/>
                <w:lang w:val="uk-UA"/>
              </w:rPr>
            </w:pPr>
            <w:r w:rsidRPr="008424A4">
              <w:rPr>
                <w:sz w:val="24"/>
                <w:szCs w:val="24"/>
                <w:lang w:val="uk-UA"/>
              </w:rPr>
              <w:t>+ 14,4%</w:t>
            </w:r>
          </w:p>
        </w:tc>
      </w:tr>
    </w:tbl>
    <w:p w:rsidR="007E3BF0" w:rsidRPr="00310249" w:rsidRDefault="007E3BF0" w:rsidP="007E3BF0">
      <w:pPr>
        <w:widowControl/>
        <w:autoSpaceDE/>
        <w:autoSpaceDN/>
        <w:adjustRightInd/>
        <w:jc w:val="center"/>
        <w:rPr>
          <w:noProof/>
          <w:sz w:val="28"/>
          <w:szCs w:val="28"/>
          <w:lang w:val="uk-UA"/>
        </w:rPr>
      </w:pPr>
    </w:p>
    <w:p w:rsidR="007E3BF0" w:rsidRPr="00310249" w:rsidRDefault="007E3BF0" w:rsidP="007E3BF0">
      <w:pPr>
        <w:widowControl/>
        <w:autoSpaceDE/>
        <w:autoSpaceDN/>
        <w:adjustRightInd/>
        <w:ind w:firstLine="709"/>
        <w:jc w:val="both"/>
        <w:rPr>
          <w:sz w:val="28"/>
          <w:szCs w:val="28"/>
          <w:lang w:val="uk-UA"/>
        </w:rPr>
      </w:pPr>
      <w:r w:rsidRPr="00310249">
        <w:rPr>
          <w:sz w:val="28"/>
          <w:szCs w:val="28"/>
          <w:lang w:val="uk-UA"/>
        </w:rPr>
        <w:lastRenderedPageBreak/>
        <w:t>Водночас респонденти відзначають, що на їх думку недостатньою є обізнаність з питань запровадження різних форм, методів, засобів та інструментів дистанційного навчання, використання хмарових технологій та інше, а також – відсутній досвід у цьому напрямі діяльності закладу ЗСО.</w:t>
      </w:r>
    </w:p>
    <w:p w:rsidR="007E3BF0" w:rsidRPr="00310249" w:rsidRDefault="007E3BF0" w:rsidP="007E3BF0">
      <w:pPr>
        <w:widowControl/>
        <w:autoSpaceDE/>
        <w:autoSpaceDN/>
        <w:adjustRightInd/>
        <w:ind w:firstLine="709"/>
        <w:jc w:val="both"/>
        <w:rPr>
          <w:bCs/>
          <w:sz w:val="28"/>
          <w:szCs w:val="28"/>
          <w:lang w:val="uk-UA"/>
        </w:rPr>
      </w:pPr>
      <w:r w:rsidRPr="00310249">
        <w:rPr>
          <w:bCs/>
          <w:sz w:val="28"/>
          <w:szCs w:val="28"/>
          <w:lang w:val="uk-UA"/>
        </w:rPr>
        <w:t>Серед опитуваних 80 % відзначили, що вільно володіють Інтернетом, 20 % опитуваних дали відповідь, що скоріше володіють вільно, ніж ні. На запитання щодо пошуку необхідної інформації у мережі Інтернет (наприклад, пошуку необхідного нормативного документу) опитувані дали такі відповіді: 90,2 % опитуваних зазначили, що це просто; 9,8 % – вважають, що це скоріше не важко. У 2015 році для порівняння один із опитуваних керівників 2,9 % відзначили, що це скоріше важко.</w:t>
      </w:r>
    </w:p>
    <w:p w:rsidR="007E3BF0" w:rsidRPr="00310249" w:rsidRDefault="007E3BF0" w:rsidP="007E3BF0">
      <w:pPr>
        <w:ind w:firstLine="709"/>
        <w:jc w:val="both"/>
        <w:rPr>
          <w:color w:val="1D1D1B"/>
          <w:sz w:val="28"/>
          <w:szCs w:val="28"/>
          <w:lang w:val="uk-UA" w:eastAsia="uk-UA"/>
        </w:rPr>
      </w:pPr>
      <w:r w:rsidRPr="00310249">
        <w:rPr>
          <w:color w:val="1D1D1B"/>
          <w:sz w:val="28"/>
          <w:szCs w:val="28"/>
          <w:lang w:val="uk-UA" w:eastAsia="uk-UA"/>
        </w:rPr>
        <w:t xml:space="preserve">Відзначимо, що за останні 5 років спостерігається зростання рівня </w:t>
      </w:r>
      <w:proofErr w:type="spellStart"/>
      <w:r w:rsidRPr="00310249">
        <w:rPr>
          <w:color w:val="1D1D1B"/>
          <w:sz w:val="28"/>
          <w:szCs w:val="28"/>
          <w:lang w:val="uk-UA" w:eastAsia="uk-UA"/>
        </w:rPr>
        <w:t>ІТ-компетентності</w:t>
      </w:r>
      <w:proofErr w:type="spellEnd"/>
      <w:r w:rsidRPr="00310249">
        <w:rPr>
          <w:color w:val="1D1D1B"/>
          <w:sz w:val="28"/>
          <w:szCs w:val="28"/>
          <w:lang w:val="uk-UA" w:eastAsia="uk-UA"/>
        </w:rPr>
        <w:t xml:space="preserve"> керівників. Проте, на виклик часу, який полягав у гострій необхідності переорієнтації освітнього процесу на </w:t>
      </w:r>
      <w:proofErr w:type="spellStart"/>
      <w:r w:rsidRPr="00310249">
        <w:rPr>
          <w:color w:val="1D1D1B"/>
          <w:sz w:val="28"/>
          <w:szCs w:val="28"/>
          <w:lang w:val="uk-UA" w:eastAsia="uk-UA"/>
        </w:rPr>
        <w:t>онлайн</w:t>
      </w:r>
      <w:proofErr w:type="spellEnd"/>
      <w:r w:rsidRPr="00310249">
        <w:rPr>
          <w:color w:val="1D1D1B"/>
          <w:sz w:val="28"/>
          <w:szCs w:val="28"/>
          <w:lang w:val="uk-UA" w:eastAsia="uk-UA"/>
        </w:rPr>
        <w:t xml:space="preserve"> формат, змогли швидко та ефективно відреагувати не всі заклади ЗСО. Під час усного експрес-опитування серед проблемних питань керівники закладів ЗСО відзначили таке: недостатня </w:t>
      </w:r>
      <w:proofErr w:type="spellStart"/>
      <w:r w:rsidRPr="00310249">
        <w:rPr>
          <w:color w:val="1D1D1B"/>
          <w:sz w:val="28"/>
          <w:szCs w:val="28"/>
          <w:lang w:val="uk-UA" w:eastAsia="uk-UA"/>
        </w:rPr>
        <w:t>ІТ-компетентність</w:t>
      </w:r>
      <w:proofErr w:type="spellEnd"/>
      <w:r w:rsidRPr="00310249">
        <w:rPr>
          <w:color w:val="1D1D1B"/>
          <w:sz w:val="28"/>
          <w:szCs w:val="28"/>
          <w:lang w:val="uk-UA" w:eastAsia="uk-UA"/>
        </w:rPr>
        <w:t xml:space="preserve"> педагогів у напрямі організації дистанційного навчання; відсутність у більшості педагогічних працівників досвіду організації </w:t>
      </w:r>
      <w:proofErr w:type="spellStart"/>
      <w:r w:rsidRPr="00310249">
        <w:rPr>
          <w:color w:val="1D1D1B"/>
          <w:sz w:val="28"/>
          <w:szCs w:val="28"/>
          <w:lang w:val="uk-UA" w:eastAsia="uk-UA"/>
        </w:rPr>
        <w:t>онлайн</w:t>
      </w:r>
      <w:proofErr w:type="spellEnd"/>
      <w:r w:rsidRPr="00310249">
        <w:rPr>
          <w:color w:val="1D1D1B"/>
          <w:sz w:val="28"/>
          <w:szCs w:val="28"/>
          <w:lang w:val="uk-UA" w:eastAsia="uk-UA"/>
        </w:rPr>
        <w:t xml:space="preserve"> навчання учнів та викладання навчальних предметів </w:t>
      </w:r>
      <w:proofErr w:type="spellStart"/>
      <w:r w:rsidRPr="00310249">
        <w:rPr>
          <w:color w:val="1D1D1B"/>
          <w:sz w:val="28"/>
          <w:szCs w:val="28"/>
          <w:lang w:val="uk-UA" w:eastAsia="uk-UA"/>
        </w:rPr>
        <w:t>онлайн</w:t>
      </w:r>
      <w:proofErr w:type="spellEnd"/>
      <w:r w:rsidRPr="00310249">
        <w:rPr>
          <w:color w:val="1D1D1B"/>
          <w:sz w:val="28"/>
          <w:szCs w:val="28"/>
          <w:lang w:val="uk-UA" w:eastAsia="uk-UA"/>
        </w:rPr>
        <w:t xml:space="preserve">; відсутність відповідного матеріально-технічного забезпечення учнів та вчителів комп’ютерною технікою та стабільним високошвидкісним доступом до мережі Інтернет вдома тощо.  Разом з цим, респонденти підкреслили, що за час карантину та вимушеного переведення навчання в </w:t>
      </w:r>
      <w:proofErr w:type="spellStart"/>
      <w:r w:rsidRPr="00310249">
        <w:rPr>
          <w:color w:val="1D1D1B"/>
          <w:sz w:val="28"/>
          <w:szCs w:val="28"/>
          <w:lang w:val="uk-UA" w:eastAsia="uk-UA"/>
        </w:rPr>
        <w:t>онлайн</w:t>
      </w:r>
      <w:proofErr w:type="spellEnd"/>
      <w:r w:rsidRPr="00310249">
        <w:rPr>
          <w:color w:val="1D1D1B"/>
          <w:sz w:val="28"/>
          <w:szCs w:val="28"/>
          <w:lang w:val="uk-UA" w:eastAsia="uk-UA"/>
        </w:rPr>
        <w:t xml:space="preserve"> формат майже всі працівники закладу, на чолі з керівником, самостійно отримали знання та сформували первинні навички практичного запровадження дистанційного навчання, але отримана сукупність знань не є систематизованою та потребує розширення та узагальнення. </w:t>
      </w:r>
    </w:p>
    <w:p w:rsidR="007E3BF0" w:rsidRPr="00310249" w:rsidRDefault="007E3BF0" w:rsidP="007E3BF0">
      <w:pPr>
        <w:ind w:firstLine="709"/>
        <w:jc w:val="both"/>
        <w:rPr>
          <w:sz w:val="28"/>
          <w:szCs w:val="28"/>
          <w:lang w:val="uk-UA"/>
        </w:rPr>
      </w:pPr>
      <w:r w:rsidRPr="00310249">
        <w:rPr>
          <w:color w:val="1D1D1B"/>
          <w:sz w:val="28"/>
          <w:szCs w:val="28"/>
          <w:lang w:val="uk-UA" w:eastAsia="uk-UA"/>
        </w:rPr>
        <w:t>У зв’язку із вищевикладеним потребують подальшого наукового дослідження питання включення до системи підвищення кваліфікації керівників та педагогічних працівників ЗСО питань організації дистанційного навчання як допоміжної до основної форми організації навчання та альтернативи звичному освітньому процесу на час надзвичайних обставин. Через це наші подальші наукові дослідження будуть присвячені в</w:t>
      </w:r>
      <w:r w:rsidRPr="00310249">
        <w:rPr>
          <w:noProof/>
          <w:sz w:val="28"/>
          <w:szCs w:val="28"/>
          <w:lang w:val="uk-UA"/>
        </w:rPr>
        <w:t xml:space="preserve">изначенню інформаційних потреб </w:t>
      </w:r>
      <w:r w:rsidRPr="00310249">
        <w:rPr>
          <w:sz w:val="28"/>
          <w:szCs w:val="28"/>
          <w:lang w:val="uk-UA"/>
        </w:rPr>
        <w:t xml:space="preserve">з питань підвищення рівня </w:t>
      </w:r>
      <w:proofErr w:type="spellStart"/>
      <w:r w:rsidRPr="00310249">
        <w:rPr>
          <w:sz w:val="28"/>
          <w:szCs w:val="28"/>
          <w:lang w:val="uk-UA"/>
        </w:rPr>
        <w:t>ІТ-компетентності</w:t>
      </w:r>
      <w:proofErr w:type="spellEnd"/>
      <w:r w:rsidRPr="00310249">
        <w:rPr>
          <w:sz w:val="28"/>
          <w:szCs w:val="28"/>
          <w:lang w:val="uk-UA"/>
        </w:rPr>
        <w:t xml:space="preserve"> та </w:t>
      </w:r>
      <w:r w:rsidRPr="00310249">
        <w:rPr>
          <w:color w:val="1D1D1B"/>
          <w:sz w:val="28"/>
          <w:szCs w:val="28"/>
          <w:lang w:val="uk-UA" w:eastAsia="uk-UA"/>
        </w:rPr>
        <w:t xml:space="preserve">розробці даного питання через призму системи науково-методичних заходів формування професійної компетентності керівників закладів ЗСО, оскільки, як вже доведено, </w:t>
      </w:r>
      <w:proofErr w:type="spellStart"/>
      <w:r w:rsidRPr="00310249">
        <w:rPr>
          <w:color w:val="1D1D1B"/>
          <w:sz w:val="28"/>
          <w:szCs w:val="28"/>
          <w:lang w:val="uk-UA" w:eastAsia="uk-UA"/>
        </w:rPr>
        <w:t>ІТ-</w:t>
      </w:r>
      <w:r w:rsidRPr="00310249">
        <w:rPr>
          <w:sz w:val="28"/>
          <w:szCs w:val="28"/>
          <w:lang w:val="uk-UA"/>
        </w:rPr>
        <w:t>компетентність</w:t>
      </w:r>
      <w:proofErr w:type="spellEnd"/>
      <w:r w:rsidRPr="00310249">
        <w:rPr>
          <w:sz w:val="28"/>
          <w:szCs w:val="28"/>
          <w:lang w:val="uk-UA"/>
        </w:rPr>
        <w:t xml:space="preserve"> керівників є важливою складовою професійної компетентності та основою професійної підготовки у галузі управління закладом освіти. </w:t>
      </w:r>
    </w:p>
    <w:p w:rsidR="007E3BF0" w:rsidRPr="00310249" w:rsidRDefault="007E3BF0" w:rsidP="007E3BF0">
      <w:pPr>
        <w:widowControl/>
        <w:shd w:val="clear" w:color="auto" w:fill="FFFFFF"/>
        <w:autoSpaceDE/>
        <w:autoSpaceDN/>
        <w:adjustRightInd/>
        <w:ind w:firstLine="708"/>
        <w:jc w:val="both"/>
        <w:rPr>
          <w:color w:val="1D1D1B"/>
          <w:sz w:val="28"/>
          <w:szCs w:val="28"/>
          <w:lang w:val="uk-UA" w:eastAsia="uk-UA"/>
        </w:rPr>
      </w:pPr>
      <w:r w:rsidRPr="00310249">
        <w:rPr>
          <w:color w:val="1D1D1B"/>
          <w:sz w:val="28"/>
          <w:szCs w:val="28"/>
          <w:lang w:val="uk-UA" w:eastAsia="uk-UA"/>
        </w:rPr>
        <w:t>Література:</w:t>
      </w:r>
    </w:p>
    <w:p w:rsidR="007E3BF0" w:rsidRPr="00310249" w:rsidRDefault="007E3BF0" w:rsidP="007E3BF0">
      <w:pPr>
        <w:pStyle w:val="a5"/>
        <w:numPr>
          <w:ilvl w:val="0"/>
          <w:numId w:val="4"/>
        </w:numPr>
        <w:rPr>
          <w:lang w:eastAsia="uk-UA"/>
        </w:rPr>
      </w:pPr>
      <w:bookmarkStart w:id="1" w:name="_Ref409948218"/>
      <w:r w:rsidRPr="00310249">
        <w:rPr>
          <w:lang w:eastAsia="uk-UA"/>
        </w:rPr>
        <w:t xml:space="preserve">Про запобігання поширенню на території України гострої респіраторної хвороби COVID-19, спричиненої </w:t>
      </w:r>
      <w:proofErr w:type="spellStart"/>
      <w:r w:rsidRPr="00310249">
        <w:rPr>
          <w:lang w:eastAsia="uk-UA"/>
        </w:rPr>
        <w:t>коронавірусом</w:t>
      </w:r>
      <w:proofErr w:type="spellEnd"/>
      <w:r w:rsidRPr="00310249">
        <w:rPr>
          <w:lang w:eastAsia="uk-UA"/>
        </w:rPr>
        <w:t xml:space="preserve"> SARS-CoV-2 [Електронний ресурс] : Постанови Кабінету Міністрів України від 11 березня 2020 року № 211 – Режим доступу : </w:t>
      </w:r>
      <w:hyperlink r:id="rId5" w:history="1">
        <w:r w:rsidRPr="00310249">
          <w:rPr>
            <w:lang w:eastAsia="uk-UA"/>
          </w:rPr>
          <w:t>https://zakon.rada.gov.ua/laws/show/211-2020-%D0%BF</w:t>
        </w:r>
      </w:hyperlink>
    </w:p>
    <w:p w:rsidR="007E3BF0" w:rsidRPr="00310249" w:rsidRDefault="007E3BF0" w:rsidP="007E3BF0">
      <w:pPr>
        <w:pStyle w:val="a5"/>
        <w:numPr>
          <w:ilvl w:val="0"/>
          <w:numId w:val="4"/>
        </w:numPr>
        <w:rPr>
          <w:lang w:eastAsia="uk-UA"/>
        </w:rPr>
      </w:pPr>
      <w:r w:rsidRPr="00310249">
        <w:rPr>
          <w:lang w:eastAsia="uk-UA"/>
        </w:rPr>
        <w:t xml:space="preserve">Про затвердження кваліфікаційних характеристик професій (посад) педагогічних та науково-педагогічних працівників навчальних закладів [Електронний ресурс] : Наказ Міністерства освіти і науки України від </w:t>
      </w:r>
      <w:r w:rsidRPr="00310249">
        <w:rPr>
          <w:lang w:eastAsia="uk-UA"/>
        </w:rPr>
        <w:lastRenderedPageBreak/>
        <w:t xml:space="preserve">01.06.2013 р. № 665. – Режим доступу : </w:t>
      </w:r>
      <w:hyperlink r:id="rId6" w:history="1">
        <w:r w:rsidRPr="00310249">
          <w:rPr>
            <w:lang w:eastAsia="uk-UA"/>
          </w:rPr>
          <w:t>http://document.ua/pro-zatverdzhennja-kvalifikaciinih-harakteristik-profesii-po-doc168113.html</w:t>
        </w:r>
      </w:hyperlink>
      <w:bookmarkEnd w:id="1"/>
      <w:r w:rsidRPr="00310249">
        <w:rPr>
          <w:lang w:eastAsia="uk-UA"/>
        </w:rPr>
        <w:t>.</w:t>
      </w:r>
    </w:p>
    <w:p w:rsidR="007E3BF0" w:rsidRPr="00310249" w:rsidRDefault="007E3BF0" w:rsidP="007E3BF0">
      <w:pPr>
        <w:pStyle w:val="a5"/>
        <w:numPr>
          <w:ilvl w:val="0"/>
          <w:numId w:val="4"/>
        </w:numPr>
        <w:rPr>
          <w:lang w:eastAsia="uk-UA"/>
        </w:rPr>
      </w:pPr>
      <w:bookmarkStart w:id="2" w:name="_Ref410056919"/>
      <w:proofErr w:type="spellStart"/>
      <w:r w:rsidRPr="00310249">
        <w:rPr>
          <w:lang w:eastAsia="uk-UA"/>
        </w:rPr>
        <w:t>Спірін</w:t>
      </w:r>
      <w:proofErr w:type="spellEnd"/>
      <w:r w:rsidRPr="00310249">
        <w:rPr>
          <w:lang w:eastAsia="uk-UA"/>
        </w:rPr>
        <w:t xml:space="preserve"> О. М. Інформаційно-комунікаційні та </w:t>
      </w:r>
      <w:proofErr w:type="spellStart"/>
      <w:r w:rsidRPr="00310249">
        <w:rPr>
          <w:lang w:eastAsia="uk-UA"/>
        </w:rPr>
        <w:t>інформатичні</w:t>
      </w:r>
      <w:proofErr w:type="spellEnd"/>
      <w:r w:rsidRPr="00310249">
        <w:rPr>
          <w:lang w:eastAsia="uk-UA"/>
        </w:rPr>
        <w:t xml:space="preserve"> компетентності як компоненти системи професійно-спеціалізованих компетентностей вчителя інформатики [Електронний ресурс] / О. М. </w:t>
      </w:r>
      <w:proofErr w:type="spellStart"/>
      <w:r w:rsidRPr="00310249">
        <w:rPr>
          <w:lang w:eastAsia="uk-UA"/>
        </w:rPr>
        <w:t>Спірін</w:t>
      </w:r>
      <w:proofErr w:type="spellEnd"/>
      <w:r w:rsidRPr="00310249">
        <w:rPr>
          <w:lang w:eastAsia="uk-UA"/>
        </w:rPr>
        <w:t xml:space="preserve"> // Інформаційні технології і засоби навчання. – 2009. – № 5 (13). – Режим доступу : </w:t>
      </w:r>
      <w:hyperlink r:id="rId7" w:history="1">
        <w:r w:rsidRPr="00310249">
          <w:rPr>
            <w:lang w:eastAsia="uk-UA"/>
          </w:rPr>
          <w:t>http://eprints.zu.edu.ua/3733/2/09somtio.htm</w:t>
        </w:r>
      </w:hyperlink>
      <w:bookmarkEnd w:id="2"/>
    </w:p>
    <w:p w:rsidR="007E3BF0" w:rsidRDefault="007E3BF0" w:rsidP="007E3BF0">
      <w:pPr>
        <w:pStyle w:val="a5"/>
        <w:numPr>
          <w:ilvl w:val="0"/>
          <w:numId w:val="4"/>
        </w:numPr>
        <w:rPr>
          <w:lang w:eastAsia="uk-UA"/>
        </w:rPr>
      </w:pPr>
      <w:bookmarkStart w:id="3" w:name="_Ref410053901"/>
      <w:proofErr w:type="spellStart"/>
      <w:r w:rsidRPr="00310249">
        <w:rPr>
          <w:lang w:eastAsia="uk-UA"/>
        </w:rPr>
        <w:t>Лунячек</w:t>
      </w:r>
      <w:proofErr w:type="spellEnd"/>
      <w:r w:rsidRPr="00310249">
        <w:rPr>
          <w:lang w:eastAsia="uk-UA"/>
        </w:rPr>
        <w:t xml:space="preserve"> В. Е. Державне управління освітою : </w:t>
      </w:r>
      <w:proofErr w:type="spellStart"/>
      <w:r w:rsidRPr="00310249">
        <w:rPr>
          <w:lang w:eastAsia="uk-UA"/>
        </w:rPr>
        <w:t>підруч</w:t>
      </w:r>
      <w:proofErr w:type="spellEnd"/>
      <w:r w:rsidRPr="00310249">
        <w:rPr>
          <w:lang w:eastAsia="uk-UA"/>
        </w:rPr>
        <w:t xml:space="preserve">. для </w:t>
      </w:r>
      <w:proofErr w:type="spellStart"/>
      <w:r w:rsidRPr="00310249">
        <w:rPr>
          <w:lang w:eastAsia="uk-UA"/>
        </w:rPr>
        <w:t>вищ</w:t>
      </w:r>
      <w:proofErr w:type="spellEnd"/>
      <w:r w:rsidRPr="00310249">
        <w:rPr>
          <w:lang w:eastAsia="uk-UA"/>
        </w:rPr>
        <w:t xml:space="preserve">. </w:t>
      </w:r>
      <w:proofErr w:type="spellStart"/>
      <w:r w:rsidRPr="00310249">
        <w:rPr>
          <w:lang w:eastAsia="uk-UA"/>
        </w:rPr>
        <w:t>навч</w:t>
      </w:r>
      <w:proofErr w:type="spellEnd"/>
      <w:r w:rsidRPr="00310249">
        <w:rPr>
          <w:lang w:eastAsia="uk-UA"/>
        </w:rPr>
        <w:t xml:space="preserve">. </w:t>
      </w:r>
      <w:proofErr w:type="spellStart"/>
      <w:r w:rsidRPr="00310249">
        <w:rPr>
          <w:lang w:eastAsia="uk-UA"/>
        </w:rPr>
        <w:t>закл</w:t>
      </w:r>
      <w:proofErr w:type="spellEnd"/>
      <w:r w:rsidRPr="00310249">
        <w:rPr>
          <w:lang w:eastAsia="uk-UA"/>
        </w:rPr>
        <w:t xml:space="preserve">. / В. Е. </w:t>
      </w:r>
      <w:proofErr w:type="spellStart"/>
      <w:r w:rsidRPr="00310249">
        <w:rPr>
          <w:lang w:eastAsia="uk-UA"/>
        </w:rPr>
        <w:t>Лунячек</w:t>
      </w:r>
      <w:proofErr w:type="spellEnd"/>
      <w:r w:rsidRPr="00310249">
        <w:rPr>
          <w:lang w:eastAsia="uk-UA"/>
        </w:rPr>
        <w:t xml:space="preserve">. – Х. : Гімназія, 2010. – 288 с. </w:t>
      </w:r>
      <w:bookmarkEnd w:id="3"/>
      <w:r>
        <w:rPr>
          <w:lang w:eastAsia="uk-UA"/>
        </w:rPr>
        <w:br w:type="page"/>
      </w:r>
    </w:p>
    <w:p w:rsidR="00867430" w:rsidRPr="007E3BF0" w:rsidRDefault="00867430">
      <w:pPr>
        <w:rPr>
          <w:lang w:val="uk-UA"/>
        </w:rPr>
      </w:pPr>
    </w:p>
    <w:sectPr w:rsidR="00867430" w:rsidRPr="007E3BF0" w:rsidSect="00FB1B80">
      <w:headerReference w:type="default" r:id="rId8"/>
      <w:pgSz w:w="11906" w:h="16838" w:code="9"/>
      <w:pgMar w:top="851" w:right="851" w:bottom="851" w:left="851" w:header="397" w:footer="397" w:gutter="0"/>
      <w:pgNumType w:start="36"/>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8E0" w:rsidRPr="00F37BDE" w:rsidRDefault="007E3BF0" w:rsidP="00F37BD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ｷ"/>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bullet"/>
      <w:lvlText w:val="–"/>
      <w:lvlJc w:val="left"/>
      <w:pPr>
        <w:ind w:left="720" w:hanging="360"/>
      </w:pPr>
      <w:rPr>
        <w:rFonts w:ascii="OpenSymbol" w:eastAsia="OpenSymbol" w:hAnsi="Times New Roman CYR" w:cs="OpenSymbol"/>
      </w:rPr>
    </w:lvl>
    <w:lvl w:ilvl="1">
      <w:start w:val="1"/>
      <w:numFmt w:val="bullet"/>
      <w:lvlText w:val="–"/>
      <w:lvlJc w:val="left"/>
      <w:pPr>
        <w:ind w:left="1080" w:hanging="360"/>
      </w:pPr>
      <w:rPr>
        <w:rFonts w:ascii="OpenSymbol" w:eastAsia="OpenSymbol" w:hAnsi="Times New Roman CYR" w:cs="OpenSymbol"/>
      </w:rPr>
    </w:lvl>
    <w:lvl w:ilvl="2">
      <w:start w:val="1"/>
      <w:numFmt w:val="bullet"/>
      <w:lvlText w:val="–"/>
      <w:lvlJc w:val="left"/>
      <w:pPr>
        <w:ind w:left="1440" w:hanging="360"/>
      </w:pPr>
      <w:rPr>
        <w:rFonts w:ascii="OpenSymbol" w:eastAsia="OpenSymbol" w:hAnsi="Times New Roman CYR" w:cs="OpenSymbol"/>
      </w:rPr>
    </w:lvl>
    <w:lvl w:ilvl="3">
      <w:start w:val="1"/>
      <w:numFmt w:val="bullet"/>
      <w:lvlText w:val="–"/>
      <w:lvlJc w:val="left"/>
      <w:pPr>
        <w:ind w:left="1800" w:hanging="360"/>
      </w:pPr>
      <w:rPr>
        <w:rFonts w:ascii="OpenSymbol" w:eastAsia="OpenSymbol" w:hAnsi="Times New Roman CYR" w:cs="OpenSymbol"/>
      </w:rPr>
    </w:lvl>
    <w:lvl w:ilvl="4">
      <w:start w:val="1"/>
      <w:numFmt w:val="bullet"/>
      <w:lvlText w:val="–"/>
      <w:lvlJc w:val="left"/>
      <w:pPr>
        <w:ind w:left="2160" w:hanging="360"/>
      </w:pPr>
      <w:rPr>
        <w:rFonts w:ascii="OpenSymbol" w:eastAsia="OpenSymbol" w:hAnsi="Times New Roman CYR" w:cs="OpenSymbol"/>
      </w:rPr>
    </w:lvl>
    <w:lvl w:ilvl="5">
      <w:start w:val="1"/>
      <w:numFmt w:val="bullet"/>
      <w:lvlText w:val="–"/>
      <w:lvlJc w:val="left"/>
      <w:pPr>
        <w:ind w:left="2520" w:hanging="360"/>
      </w:pPr>
      <w:rPr>
        <w:rFonts w:ascii="OpenSymbol" w:eastAsia="OpenSymbol" w:hAnsi="Times New Roman CYR" w:cs="OpenSymbol"/>
      </w:rPr>
    </w:lvl>
    <w:lvl w:ilvl="6">
      <w:start w:val="1"/>
      <w:numFmt w:val="bullet"/>
      <w:lvlText w:val="–"/>
      <w:lvlJc w:val="left"/>
      <w:pPr>
        <w:ind w:left="2880" w:hanging="360"/>
      </w:pPr>
      <w:rPr>
        <w:rFonts w:ascii="OpenSymbol" w:eastAsia="OpenSymbol" w:hAnsi="Times New Roman CYR" w:cs="OpenSymbol"/>
      </w:rPr>
    </w:lvl>
    <w:lvl w:ilvl="7">
      <w:start w:val="1"/>
      <w:numFmt w:val="bullet"/>
      <w:lvlText w:val="–"/>
      <w:lvlJc w:val="left"/>
      <w:pPr>
        <w:ind w:left="3240" w:hanging="360"/>
      </w:pPr>
      <w:rPr>
        <w:rFonts w:ascii="OpenSymbol" w:eastAsia="OpenSymbol" w:hAnsi="Times New Roman CYR" w:cs="OpenSymbol"/>
      </w:rPr>
    </w:lvl>
    <w:lvl w:ilvl="8">
      <w:start w:val="1"/>
      <w:numFmt w:val="bullet"/>
      <w:lvlText w:val="–"/>
      <w:lvlJc w:val="left"/>
      <w:pPr>
        <w:ind w:left="3600" w:hanging="360"/>
      </w:pPr>
      <w:rPr>
        <w:rFonts w:ascii="OpenSymbol" w:eastAsia="OpenSymbol" w:hAnsi="Times New Roman CYR" w:cs="OpenSymbol"/>
      </w:rPr>
    </w:lvl>
  </w:abstractNum>
  <w:abstractNum w:abstractNumId="2">
    <w:nsid w:val="00000003"/>
    <w:multiLevelType w:val="multilevel"/>
    <w:tmpl w:val="00000003"/>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nsid w:val="43B0091A"/>
    <w:multiLevelType w:val="hybridMultilevel"/>
    <w:tmpl w:val="D6226130"/>
    <w:lvl w:ilvl="0" w:tplc="36E204DA">
      <w:start w:val="1"/>
      <w:numFmt w:val="decimal"/>
      <w:lvlText w:val="%1."/>
      <w:lvlJc w:val="left"/>
      <w:pPr>
        <w:tabs>
          <w:tab w:val="num" w:pos="1928"/>
        </w:tabs>
        <w:ind w:left="567" w:firstLine="624"/>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E3BF0"/>
    <w:rsid w:val="0000281A"/>
    <w:rsid w:val="00003885"/>
    <w:rsid w:val="00010E47"/>
    <w:rsid w:val="00023986"/>
    <w:rsid w:val="00023D28"/>
    <w:rsid w:val="0003435E"/>
    <w:rsid w:val="000426FA"/>
    <w:rsid w:val="00050A8E"/>
    <w:rsid w:val="000607AA"/>
    <w:rsid w:val="00063C4D"/>
    <w:rsid w:val="000643F4"/>
    <w:rsid w:val="00073DCD"/>
    <w:rsid w:val="00085D40"/>
    <w:rsid w:val="000866A7"/>
    <w:rsid w:val="0009764B"/>
    <w:rsid w:val="000A4B35"/>
    <w:rsid w:val="000A60AD"/>
    <w:rsid w:val="000A6245"/>
    <w:rsid w:val="000A6F0D"/>
    <w:rsid w:val="000B131B"/>
    <w:rsid w:val="000B3FCC"/>
    <w:rsid w:val="000B6ED7"/>
    <w:rsid w:val="000C0248"/>
    <w:rsid w:val="00105FED"/>
    <w:rsid w:val="00111518"/>
    <w:rsid w:val="00114984"/>
    <w:rsid w:val="001233C2"/>
    <w:rsid w:val="001260CA"/>
    <w:rsid w:val="00127D74"/>
    <w:rsid w:val="00135614"/>
    <w:rsid w:val="00136C91"/>
    <w:rsid w:val="001476BD"/>
    <w:rsid w:val="00150541"/>
    <w:rsid w:val="00155986"/>
    <w:rsid w:val="00175D42"/>
    <w:rsid w:val="00176726"/>
    <w:rsid w:val="00177C5F"/>
    <w:rsid w:val="00183CA1"/>
    <w:rsid w:val="001A4E0D"/>
    <w:rsid w:val="001C1699"/>
    <w:rsid w:val="001C1E2D"/>
    <w:rsid w:val="001C6C12"/>
    <w:rsid w:val="001D36EB"/>
    <w:rsid w:val="001D6999"/>
    <w:rsid w:val="001D6EA3"/>
    <w:rsid w:val="001E6BC1"/>
    <w:rsid w:val="00205E5F"/>
    <w:rsid w:val="00233207"/>
    <w:rsid w:val="00233451"/>
    <w:rsid w:val="00235827"/>
    <w:rsid w:val="0024727A"/>
    <w:rsid w:val="00263868"/>
    <w:rsid w:val="00264C00"/>
    <w:rsid w:val="0027219F"/>
    <w:rsid w:val="00284EC8"/>
    <w:rsid w:val="00297D5A"/>
    <w:rsid w:val="002A2DC9"/>
    <w:rsid w:val="002A5CC1"/>
    <w:rsid w:val="002A7E82"/>
    <w:rsid w:val="002B2D1B"/>
    <w:rsid w:val="002B500F"/>
    <w:rsid w:val="002C7610"/>
    <w:rsid w:val="002D2CB6"/>
    <w:rsid w:val="002E77CB"/>
    <w:rsid w:val="002F0121"/>
    <w:rsid w:val="003027AF"/>
    <w:rsid w:val="00306AAB"/>
    <w:rsid w:val="00311D79"/>
    <w:rsid w:val="00314BC1"/>
    <w:rsid w:val="003248E0"/>
    <w:rsid w:val="00332531"/>
    <w:rsid w:val="003329FE"/>
    <w:rsid w:val="003333BE"/>
    <w:rsid w:val="003426E4"/>
    <w:rsid w:val="00346C60"/>
    <w:rsid w:val="00364DFB"/>
    <w:rsid w:val="0037138D"/>
    <w:rsid w:val="003724D1"/>
    <w:rsid w:val="003C1A1A"/>
    <w:rsid w:val="003C2306"/>
    <w:rsid w:val="003C2522"/>
    <w:rsid w:val="003D34A6"/>
    <w:rsid w:val="003D3889"/>
    <w:rsid w:val="003E06B2"/>
    <w:rsid w:val="003E13E3"/>
    <w:rsid w:val="003E2443"/>
    <w:rsid w:val="003F0043"/>
    <w:rsid w:val="003F74FF"/>
    <w:rsid w:val="00400F84"/>
    <w:rsid w:val="0040284A"/>
    <w:rsid w:val="00415B6C"/>
    <w:rsid w:val="004258A1"/>
    <w:rsid w:val="00425947"/>
    <w:rsid w:val="00441D68"/>
    <w:rsid w:val="004442F2"/>
    <w:rsid w:val="00452962"/>
    <w:rsid w:val="00457310"/>
    <w:rsid w:val="00462504"/>
    <w:rsid w:val="004638A4"/>
    <w:rsid w:val="004651A0"/>
    <w:rsid w:val="0047348B"/>
    <w:rsid w:val="0047359B"/>
    <w:rsid w:val="004774CC"/>
    <w:rsid w:val="0048012C"/>
    <w:rsid w:val="00481E1F"/>
    <w:rsid w:val="00487E9B"/>
    <w:rsid w:val="0049042A"/>
    <w:rsid w:val="00493696"/>
    <w:rsid w:val="004946FE"/>
    <w:rsid w:val="004A5415"/>
    <w:rsid w:val="004B11F8"/>
    <w:rsid w:val="004B6B6E"/>
    <w:rsid w:val="004C67A7"/>
    <w:rsid w:val="004D21E1"/>
    <w:rsid w:val="004E6C7C"/>
    <w:rsid w:val="004E6F62"/>
    <w:rsid w:val="004F22E9"/>
    <w:rsid w:val="004F5055"/>
    <w:rsid w:val="0051145F"/>
    <w:rsid w:val="00511B33"/>
    <w:rsid w:val="00524764"/>
    <w:rsid w:val="00526FE6"/>
    <w:rsid w:val="0052758A"/>
    <w:rsid w:val="00534A36"/>
    <w:rsid w:val="005371A9"/>
    <w:rsid w:val="00540AD3"/>
    <w:rsid w:val="00541714"/>
    <w:rsid w:val="00544AFF"/>
    <w:rsid w:val="00553098"/>
    <w:rsid w:val="0055663E"/>
    <w:rsid w:val="00556EE7"/>
    <w:rsid w:val="005575E3"/>
    <w:rsid w:val="00561521"/>
    <w:rsid w:val="00563216"/>
    <w:rsid w:val="00564742"/>
    <w:rsid w:val="00564D64"/>
    <w:rsid w:val="00572D4A"/>
    <w:rsid w:val="00581D97"/>
    <w:rsid w:val="005918D7"/>
    <w:rsid w:val="005A5A61"/>
    <w:rsid w:val="005B3D41"/>
    <w:rsid w:val="005C3AFA"/>
    <w:rsid w:val="005D1634"/>
    <w:rsid w:val="0060192C"/>
    <w:rsid w:val="00606A1F"/>
    <w:rsid w:val="0061733E"/>
    <w:rsid w:val="006206F8"/>
    <w:rsid w:val="00626381"/>
    <w:rsid w:val="00634288"/>
    <w:rsid w:val="00640145"/>
    <w:rsid w:val="00647BDF"/>
    <w:rsid w:val="00660F5D"/>
    <w:rsid w:val="00663ABD"/>
    <w:rsid w:val="00666329"/>
    <w:rsid w:val="00670642"/>
    <w:rsid w:val="006730F1"/>
    <w:rsid w:val="00674F9F"/>
    <w:rsid w:val="0068320F"/>
    <w:rsid w:val="006838AE"/>
    <w:rsid w:val="00685D6A"/>
    <w:rsid w:val="00695167"/>
    <w:rsid w:val="00696A3D"/>
    <w:rsid w:val="006B0FEF"/>
    <w:rsid w:val="006B12F0"/>
    <w:rsid w:val="006C0F93"/>
    <w:rsid w:val="006C342A"/>
    <w:rsid w:val="006C71F6"/>
    <w:rsid w:val="006D2B4F"/>
    <w:rsid w:val="006D2D1A"/>
    <w:rsid w:val="006D50C8"/>
    <w:rsid w:val="006E0D06"/>
    <w:rsid w:val="006E1041"/>
    <w:rsid w:val="006E2705"/>
    <w:rsid w:val="006F33E7"/>
    <w:rsid w:val="006F7ABA"/>
    <w:rsid w:val="00702963"/>
    <w:rsid w:val="00724B72"/>
    <w:rsid w:val="00726AB6"/>
    <w:rsid w:val="00731C53"/>
    <w:rsid w:val="00734580"/>
    <w:rsid w:val="0074123B"/>
    <w:rsid w:val="007448B1"/>
    <w:rsid w:val="007458B2"/>
    <w:rsid w:val="00753337"/>
    <w:rsid w:val="00762669"/>
    <w:rsid w:val="00776BBE"/>
    <w:rsid w:val="007776F9"/>
    <w:rsid w:val="00790C45"/>
    <w:rsid w:val="007A2183"/>
    <w:rsid w:val="007A2F6B"/>
    <w:rsid w:val="007A3A07"/>
    <w:rsid w:val="007B4B58"/>
    <w:rsid w:val="007D0144"/>
    <w:rsid w:val="007D0AB0"/>
    <w:rsid w:val="007D548D"/>
    <w:rsid w:val="007E3BF0"/>
    <w:rsid w:val="007F100C"/>
    <w:rsid w:val="007F2555"/>
    <w:rsid w:val="00800E92"/>
    <w:rsid w:val="00801242"/>
    <w:rsid w:val="00801D5D"/>
    <w:rsid w:val="00802F82"/>
    <w:rsid w:val="00816E13"/>
    <w:rsid w:val="008329F4"/>
    <w:rsid w:val="00836A6B"/>
    <w:rsid w:val="008510F8"/>
    <w:rsid w:val="00861953"/>
    <w:rsid w:val="00863999"/>
    <w:rsid w:val="00867430"/>
    <w:rsid w:val="00872DB3"/>
    <w:rsid w:val="008817B2"/>
    <w:rsid w:val="00885137"/>
    <w:rsid w:val="0089378F"/>
    <w:rsid w:val="008A4A2C"/>
    <w:rsid w:val="008B176F"/>
    <w:rsid w:val="008B3AF6"/>
    <w:rsid w:val="008C068C"/>
    <w:rsid w:val="008C0C71"/>
    <w:rsid w:val="008D7ADC"/>
    <w:rsid w:val="008E0D52"/>
    <w:rsid w:val="008E1E9D"/>
    <w:rsid w:val="008E272D"/>
    <w:rsid w:val="008F3B66"/>
    <w:rsid w:val="009005AA"/>
    <w:rsid w:val="0090746C"/>
    <w:rsid w:val="00913802"/>
    <w:rsid w:val="0091432C"/>
    <w:rsid w:val="009233FA"/>
    <w:rsid w:val="00931967"/>
    <w:rsid w:val="00932B1B"/>
    <w:rsid w:val="00945925"/>
    <w:rsid w:val="0096597D"/>
    <w:rsid w:val="009702B3"/>
    <w:rsid w:val="009714D4"/>
    <w:rsid w:val="009729EA"/>
    <w:rsid w:val="009750F2"/>
    <w:rsid w:val="009778C7"/>
    <w:rsid w:val="009815CE"/>
    <w:rsid w:val="00992B6E"/>
    <w:rsid w:val="00995415"/>
    <w:rsid w:val="009A10EE"/>
    <w:rsid w:val="009A46F5"/>
    <w:rsid w:val="009A7BF6"/>
    <w:rsid w:val="009B1192"/>
    <w:rsid w:val="009B434C"/>
    <w:rsid w:val="009C07AB"/>
    <w:rsid w:val="009C6AAF"/>
    <w:rsid w:val="009E3DBF"/>
    <w:rsid w:val="009E3E1B"/>
    <w:rsid w:val="009E7259"/>
    <w:rsid w:val="00A11620"/>
    <w:rsid w:val="00A12C0A"/>
    <w:rsid w:val="00A25158"/>
    <w:rsid w:val="00A32305"/>
    <w:rsid w:val="00A33DF4"/>
    <w:rsid w:val="00A44579"/>
    <w:rsid w:val="00A4727B"/>
    <w:rsid w:val="00A558C6"/>
    <w:rsid w:val="00A71526"/>
    <w:rsid w:val="00A72E87"/>
    <w:rsid w:val="00A919FF"/>
    <w:rsid w:val="00A91BB1"/>
    <w:rsid w:val="00A942EA"/>
    <w:rsid w:val="00AA73F1"/>
    <w:rsid w:val="00AA7917"/>
    <w:rsid w:val="00AB11F3"/>
    <w:rsid w:val="00AB2DDA"/>
    <w:rsid w:val="00AB4432"/>
    <w:rsid w:val="00AB5103"/>
    <w:rsid w:val="00AC23AF"/>
    <w:rsid w:val="00AD5DD8"/>
    <w:rsid w:val="00AD72FC"/>
    <w:rsid w:val="00AE50AD"/>
    <w:rsid w:val="00AF10A1"/>
    <w:rsid w:val="00AF5FC4"/>
    <w:rsid w:val="00B00925"/>
    <w:rsid w:val="00B01DB3"/>
    <w:rsid w:val="00B25F66"/>
    <w:rsid w:val="00B34495"/>
    <w:rsid w:val="00B34FED"/>
    <w:rsid w:val="00B35152"/>
    <w:rsid w:val="00B355FC"/>
    <w:rsid w:val="00B409AD"/>
    <w:rsid w:val="00B5180F"/>
    <w:rsid w:val="00B632A5"/>
    <w:rsid w:val="00B847B4"/>
    <w:rsid w:val="00B9056C"/>
    <w:rsid w:val="00BA09D1"/>
    <w:rsid w:val="00BA2A97"/>
    <w:rsid w:val="00BA4BC8"/>
    <w:rsid w:val="00BB2EC6"/>
    <w:rsid w:val="00BB46BE"/>
    <w:rsid w:val="00BD4D3B"/>
    <w:rsid w:val="00BD6369"/>
    <w:rsid w:val="00BD7402"/>
    <w:rsid w:val="00BE1A2F"/>
    <w:rsid w:val="00BF0EC3"/>
    <w:rsid w:val="00BF25BE"/>
    <w:rsid w:val="00BF59C5"/>
    <w:rsid w:val="00BF66AE"/>
    <w:rsid w:val="00C00380"/>
    <w:rsid w:val="00C0107D"/>
    <w:rsid w:val="00C016B6"/>
    <w:rsid w:val="00C02A0A"/>
    <w:rsid w:val="00C034B8"/>
    <w:rsid w:val="00C043EC"/>
    <w:rsid w:val="00C04D57"/>
    <w:rsid w:val="00C14E6C"/>
    <w:rsid w:val="00C401C9"/>
    <w:rsid w:val="00C40878"/>
    <w:rsid w:val="00C4297D"/>
    <w:rsid w:val="00C50F70"/>
    <w:rsid w:val="00C73164"/>
    <w:rsid w:val="00C85FC8"/>
    <w:rsid w:val="00C94FC3"/>
    <w:rsid w:val="00C9720B"/>
    <w:rsid w:val="00CB194A"/>
    <w:rsid w:val="00CC27FF"/>
    <w:rsid w:val="00CC42D7"/>
    <w:rsid w:val="00CC5E1E"/>
    <w:rsid w:val="00CD1A23"/>
    <w:rsid w:val="00CD32E7"/>
    <w:rsid w:val="00CD4D11"/>
    <w:rsid w:val="00CE35DE"/>
    <w:rsid w:val="00CF384B"/>
    <w:rsid w:val="00CF7AA1"/>
    <w:rsid w:val="00D04A47"/>
    <w:rsid w:val="00D17792"/>
    <w:rsid w:val="00D31079"/>
    <w:rsid w:val="00D328C3"/>
    <w:rsid w:val="00D33C94"/>
    <w:rsid w:val="00D35E49"/>
    <w:rsid w:val="00D514B5"/>
    <w:rsid w:val="00D525A4"/>
    <w:rsid w:val="00D5269D"/>
    <w:rsid w:val="00D57238"/>
    <w:rsid w:val="00D61528"/>
    <w:rsid w:val="00D617EA"/>
    <w:rsid w:val="00D61E5F"/>
    <w:rsid w:val="00D636F8"/>
    <w:rsid w:val="00D743A3"/>
    <w:rsid w:val="00D74EBF"/>
    <w:rsid w:val="00D9086C"/>
    <w:rsid w:val="00D959F5"/>
    <w:rsid w:val="00DA0401"/>
    <w:rsid w:val="00DA0EC5"/>
    <w:rsid w:val="00DA337F"/>
    <w:rsid w:val="00DA5FCC"/>
    <w:rsid w:val="00DB2B8D"/>
    <w:rsid w:val="00DC0149"/>
    <w:rsid w:val="00DC0346"/>
    <w:rsid w:val="00DD29EC"/>
    <w:rsid w:val="00E02909"/>
    <w:rsid w:val="00E04338"/>
    <w:rsid w:val="00E10AEB"/>
    <w:rsid w:val="00E11B1B"/>
    <w:rsid w:val="00E3331C"/>
    <w:rsid w:val="00E34828"/>
    <w:rsid w:val="00E37652"/>
    <w:rsid w:val="00E4035F"/>
    <w:rsid w:val="00E409F6"/>
    <w:rsid w:val="00E42A15"/>
    <w:rsid w:val="00E42B62"/>
    <w:rsid w:val="00E4446E"/>
    <w:rsid w:val="00E44AC6"/>
    <w:rsid w:val="00E50370"/>
    <w:rsid w:val="00E520E7"/>
    <w:rsid w:val="00E579CB"/>
    <w:rsid w:val="00E74674"/>
    <w:rsid w:val="00E8534B"/>
    <w:rsid w:val="00E857BC"/>
    <w:rsid w:val="00E95B44"/>
    <w:rsid w:val="00EA1553"/>
    <w:rsid w:val="00EB30A3"/>
    <w:rsid w:val="00EB3805"/>
    <w:rsid w:val="00ED06C9"/>
    <w:rsid w:val="00ED2B53"/>
    <w:rsid w:val="00ED3DFB"/>
    <w:rsid w:val="00ED6F8C"/>
    <w:rsid w:val="00EE00D8"/>
    <w:rsid w:val="00EF4E34"/>
    <w:rsid w:val="00F013DC"/>
    <w:rsid w:val="00F032DE"/>
    <w:rsid w:val="00F03413"/>
    <w:rsid w:val="00F104F3"/>
    <w:rsid w:val="00F111A5"/>
    <w:rsid w:val="00F17937"/>
    <w:rsid w:val="00F17AF1"/>
    <w:rsid w:val="00F207B6"/>
    <w:rsid w:val="00F20F99"/>
    <w:rsid w:val="00F2576C"/>
    <w:rsid w:val="00F43092"/>
    <w:rsid w:val="00F549FD"/>
    <w:rsid w:val="00F5574E"/>
    <w:rsid w:val="00F6012C"/>
    <w:rsid w:val="00F6089D"/>
    <w:rsid w:val="00F64B9C"/>
    <w:rsid w:val="00F64D5D"/>
    <w:rsid w:val="00F728B0"/>
    <w:rsid w:val="00F734F5"/>
    <w:rsid w:val="00F762BD"/>
    <w:rsid w:val="00F82A80"/>
    <w:rsid w:val="00F8398E"/>
    <w:rsid w:val="00F919C3"/>
    <w:rsid w:val="00F96198"/>
    <w:rsid w:val="00FB7F66"/>
    <w:rsid w:val="00FC3D25"/>
    <w:rsid w:val="00FC722A"/>
    <w:rsid w:val="00FC7EAD"/>
    <w:rsid w:val="00FD4852"/>
    <w:rsid w:val="00FD4D3B"/>
    <w:rsid w:val="00FE7C68"/>
    <w:rsid w:val="00FF5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BF0"/>
    <w:pPr>
      <w:widowControl w:val="0"/>
      <w:autoSpaceDE w:val="0"/>
      <w:autoSpaceDN w:val="0"/>
      <w:adjustRightInd w:val="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7E3BF0"/>
    <w:pPr>
      <w:keepNext/>
      <w:jc w:val="center"/>
      <w:outlineLvl w:val="0"/>
    </w:pPr>
    <w:rPr>
      <w:b/>
      <w:bCs/>
      <w:i/>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BF0"/>
    <w:rPr>
      <w:rFonts w:ascii="Times New Roman" w:eastAsia="Times New Roman" w:hAnsi="Times New Roman" w:cs="Times New Roman"/>
      <w:b/>
      <w:bCs/>
      <w:i/>
      <w:kern w:val="32"/>
      <w:sz w:val="32"/>
      <w:szCs w:val="32"/>
      <w:lang w:val="uk-UA" w:eastAsia="ru-RU"/>
    </w:rPr>
  </w:style>
  <w:style w:type="paragraph" w:styleId="a3">
    <w:name w:val="header"/>
    <w:basedOn w:val="a"/>
    <w:link w:val="a4"/>
    <w:rsid w:val="007E3BF0"/>
    <w:pPr>
      <w:tabs>
        <w:tab w:val="center" w:pos="4677"/>
        <w:tab w:val="right" w:pos="9355"/>
      </w:tabs>
    </w:pPr>
  </w:style>
  <w:style w:type="character" w:customStyle="1" w:styleId="a4">
    <w:name w:val="Верхний колонтитул Знак"/>
    <w:basedOn w:val="a0"/>
    <w:link w:val="a3"/>
    <w:rsid w:val="007E3BF0"/>
    <w:rPr>
      <w:rFonts w:ascii="Times New Roman" w:eastAsia="Times New Roman" w:hAnsi="Times New Roman" w:cs="Times New Roman"/>
      <w:sz w:val="20"/>
      <w:szCs w:val="20"/>
      <w:lang w:eastAsia="ru-RU"/>
    </w:rPr>
  </w:style>
  <w:style w:type="paragraph" w:customStyle="1" w:styleId="a5">
    <w:name w:val="БІО_звичайний"/>
    <w:qFormat/>
    <w:rsid w:val="007E3BF0"/>
    <w:pPr>
      <w:ind w:firstLine="567"/>
      <w:jc w:val="both"/>
    </w:pPr>
    <w:rPr>
      <w:rFonts w:ascii="Times New Roman" w:eastAsia="Times New Roman" w:hAnsi="Times New Roman" w:cs="Times New Roman"/>
      <w:sz w:val="28"/>
      <w:szCs w:val="24"/>
      <w:lang w:val="uk-UA" w:eastAsia="ru-RU"/>
    </w:rPr>
  </w:style>
  <w:style w:type="table" w:customStyle="1" w:styleId="11">
    <w:name w:val="Сетка таблицы1"/>
    <w:basedOn w:val="a1"/>
    <w:uiPriority w:val="59"/>
    <w:rsid w:val="007E3BF0"/>
    <w:pPr>
      <w:jc w:val="left"/>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7E3B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prints.zu.edu.ua/3733/2/09somti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ument.ua/pro-zatverdzhennja-kvalifikaciinih-harakteristik-profesii-po-doc168113.html" TargetMode="External"/><Relationship Id="rId5" Type="http://schemas.openxmlformats.org/officeDocument/2006/relationships/hyperlink" Target="https://zakon.rada.gov.ua/laws/show/211-2020-%D0%B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2021-05-26T07:23:00Z</dcterms:created>
  <dcterms:modified xsi:type="dcterms:W3CDTF">2021-05-26T07:24:00Z</dcterms:modified>
</cp:coreProperties>
</file>