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91A" w:rsidRDefault="006F691A" w:rsidP="006F691A">
      <w:pPr>
        <w:pStyle w:val="Heading1"/>
        <w:tabs>
          <w:tab w:val="left" w:pos="3094"/>
          <w:tab w:val="left" w:pos="4567"/>
          <w:tab w:val="left" w:pos="7432"/>
        </w:tabs>
        <w:ind w:right="385"/>
      </w:pPr>
      <w:r>
        <w:t>Нечуйвітер</w:t>
      </w:r>
      <w:r>
        <w:tab/>
        <w:t>М.М.</w:t>
      </w:r>
      <w:r>
        <w:tab/>
        <w:t>ПІДВИЩЕННЯ</w:t>
      </w:r>
      <w:r>
        <w:tab/>
      </w:r>
      <w:r>
        <w:rPr>
          <w:spacing w:val="-1"/>
        </w:rPr>
        <w:t xml:space="preserve">ЕКСПЛУАТАЦІЙНОЇ </w:t>
      </w:r>
      <w:r>
        <w:t>ЕФЕКТИВНОСТІ ОБЛАДНАННЯ ТЕЦ-3 М. ХАРКОВА ШЛЯХОМ</w:t>
      </w:r>
      <w:bookmarkStart w:id="0" w:name="Нечуйвітер_М.М._ПІДВИЩЕННЯ_ЕКСПЛУАТАЦІЙН"/>
      <w:bookmarkEnd w:id="0"/>
      <w:r>
        <w:t xml:space="preserve"> ЗАСТОСУВАННЯ УЛЬТРАЗВУКОВОГО</w:t>
      </w:r>
      <w:r>
        <w:rPr>
          <w:spacing w:val="-8"/>
        </w:rPr>
        <w:t xml:space="preserve"> </w:t>
      </w:r>
      <w:r>
        <w:t>КОНТРОЛЮ</w:t>
      </w:r>
    </w:p>
    <w:p w:rsidR="006F691A" w:rsidRDefault="006F691A" w:rsidP="006F691A">
      <w:pPr>
        <w:pStyle w:val="a3"/>
        <w:ind w:right="384" w:firstLine="708"/>
      </w:pPr>
      <w:r>
        <w:t xml:space="preserve">Діюче обладнання теплових електростанцій (ТЕС), теплоелектроцентралей (ТЕЦ) після відпрацювання паркового ресурсу сьогодні згідно оновлення </w:t>
      </w:r>
      <w:proofErr w:type="spellStart"/>
      <w:r>
        <w:t>Енергети</w:t>
      </w:r>
      <w:proofErr w:type="spellEnd"/>
      <w:r>
        <w:t xml:space="preserve">­ </w:t>
      </w:r>
      <w:proofErr w:type="spellStart"/>
      <w:r>
        <w:t>чної</w:t>
      </w:r>
      <w:proofErr w:type="spellEnd"/>
      <w:r>
        <w:t xml:space="preserve"> стратегії України [</w:t>
      </w:r>
      <w:r>
        <w:rPr>
          <w:i/>
        </w:rPr>
        <w:t xml:space="preserve">1] </w:t>
      </w:r>
      <w:r>
        <w:t xml:space="preserve">ставить задачу продовження терміну експлуатації на ос­ нові результатів технічної діагностики, оцінки залишкового ресурсу, а також за­ </w:t>
      </w:r>
      <w:proofErr w:type="spellStart"/>
      <w:r>
        <w:t>безпечення</w:t>
      </w:r>
      <w:proofErr w:type="spellEnd"/>
      <w:r>
        <w:t xml:space="preserve"> надійності найбільш напружених і відповідальних елементів </w:t>
      </w:r>
      <w:proofErr w:type="spellStart"/>
      <w:r>
        <w:t>електрос</w:t>
      </w:r>
      <w:proofErr w:type="spellEnd"/>
      <w:r>
        <w:t xml:space="preserve">­ </w:t>
      </w:r>
      <w:proofErr w:type="spellStart"/>
      <w:r>
        <w:t>танцій</w:t>
      </w:r>
      <w:proofErr w:type="spellEnd"/>
      <w:r>
        <w:t>, в основному, котельного, паротурбінного устаткування.</w:t>
      </w:r>
    </w:p>
    <w:p w:rsidR="006F691A" w:rsidRDefault="006F691A" w:rsidP="006F691A">
      <w:pPr>
        <w:pStyle w:val="a3"/>
        <w:ind w:right="383" w:firstLine="708"/>
      </w:pPr>
      <w:r>
        <w:t xml:space="preserve">Актуальність питань діагностики стану теплоенергетичного обладнання ТЕС, ТЕЦ, у тому числі, із застосуванням неруйнівних методів контролю, не викликає сумнівів. Важливими питаннями є питання експлуатації елементів обладнання з внутрішніми дефектами, особливо з тріщинами, з </w:t>
      </w:r>
      <w:proofErr w:type="spellStart"/>
      <w:r>
        <w:t>несуцільностями</w:t>
      </w:r>
      <w:proofErr w:type="spellEnd"/>
      <w:r>
        <w:t xml:space="preserve"> металу. Для ви­ явлення і оцінки внутрішніх </w:t>
      </w:r>
      <w:proofErr w:type="spellStart"/>
      <w:r>
        <w:t>несуцільностей</w:t>
      </w:r>
      <w:proofErr w:type="spellEnd"/>
      <w:r>
        <w:t xml:space="preserve"> металу застосовують індивідуальний ультразвуковий контроль.</w:t>
      </w:r>
    </w:p>
    <w:p w:rsidR="006F691A" w:rsidRDefault="006F691A" w:rsidP="006F691A">
      <w:pPr>
        <w:pStyle w:val="a3"/>
        <w:ind w:right="383" w:firstLine="708"/>
      </w:pPr>
      <w:r>
        <w:t>Для умов Харківської ТЕЦ­3 [</w:t>
      </w:r>
      <w:r>
        <w:rPr>
          <w:i/>
        </w:rPr>
        <w:t xml:space="preserve">2,3] </w:t>
      </w:r>
      <w:r>
        <w:t xml:space="preserve">проведено аналіз експериментальних досліджень стану теплоенергетичного устаткування (котельного, паротурбінного, паропроводів, мережних підігрівачів) шляхом виявлення дефектів за 2004­2017 ультразвуковим методом вимірювачем товщини стінок труб « БУЛАТ». Аналіз ста­ ну котельного устаткування показав: товщина стінки пароперегрівача зменшилась на 1 мм. Допустиме відхилення таких труб пароперегрівача згідно нормативних </w:t>
      </w:r>
      <w:proofErr w:type="spellStart"/>
      <w:r>
        <w:t>да</w:t>
      </w:r>
      <w:proofErr w:type="spellEnd"/>
      <w:r>
        <w:t>­ них складає 10%. У даному випадку це складає 23% і вимагає термінової заміни ділянки труб зі зменшенням її товщини стінки; товщина стінки барабана змінилась  з 90 мм до 85,9 мм – це 4,1 мм, допустиме відхилення товщина стінки барабана згідно нормативних даних складає 20%, у даному випадку  це складає приблизно  4,6 %, що відповідає допустимим</w:t>
      </w:r>
      <w:r>
        <w:rPr>
          <w:spacing w:val="-5"/>
        </w:rPr>
        <w:t xml:space="preserve"> </w:t>
      </w:r>
      <w:r>
        <w:t>відхиленням.</w:t>
      </w:r>
    </w:p>
    <w:p w:rsidR="006F691A" w:rsidRDefault="006F691A" w:rsidP="006F691A">
      <w:pPr>
        <w:pStyle w:val="a3"/>
        <w:ind w:right="382" w:firstLine="708"/>
      </w:pPr>
      <w:r>
        <w:t xml:space="preserve">Аналіз стану мережних підігрівачів показав: спостерігається зменшення </w:t>
      </w:r>
      <w:proofErr w:type="spellStart"/>
      <w:r>
        <w:t>тов</w:t>
      </w:r>
      <w:proofErr w:type="spellEnd"/>
      <w:r>
        <w:t xml:space="preserve">­ </w:t>
      </w:r>
      <w:proofErr w:type="spellStart"/>
      <w:r>
        <w:t>щини</w:t>
      </w:r>
      <w:proofErr w:type="spellEnd"/>
      <w:r>
        <w:t xml:space="preserve"> стінок труб до 36,6%, що вимагає термінової заміни </w:t>
      </w:r>
      <w:proofErr w:type="spellStart"/>
      <w:r>
        <w:t>участків</w:t>
      </w:r>
      <w:proofErr w:type="spellEnd"/>
      <w:r>
        <w:t xml:space="preserve"> труб зі </w:t>
      </w:r>
      <w:proofErr w:type="spellStart"/>
      <w:r>
        <w:t>змен</w:t>
      </w:r>
      <w:proofErr w:type="spellEnd"/>
      <w:r>
        <w:t xml:space="preserve">­ </w:t>
      </w:r>
      <w:proofErr w:type="spellStart"/>
      <w:r>
        <w:t>шення</w:t>
      </w:r>
      <w:proofErr w:type="spellEnd"/>
      <w:r>
        <w:t xml:space="preserve"> товщини стінок труб.</w:t>
      </w:r>
    </w:p>
    <w:p w:rsidR="006F691A" w:rsidRDefault="006F691A" w:rsidP="006F691A">
      <w:pPr>
        <w:pStyle w:val="a3"/>
        <w:ind w:right="384" w:firstLine="708"/>
      </w:pPr>
      <w:r>
        <w:t xml:space="preserve">Аналіз стану паропроводів трубопроводів, газопроводів показав, що при </w:t>
      </w:r>
      <w:proofErr w:type="spellStart"/>
      <w:r>
        <w:t>нор</w:t>
      </w:r>
      <w:proofErr w:type="spellEnd"/>
      <w:r>
        <w:t xml:space="preserve">­ </w:t>
      </w:r>
      <w:proofErr w:type="spellStart"/>
      <w:r>
        <w:t>мативних</w:t>
      </w:r>
      <w:proofErr w:type="spellEnd"/>
      <w:r>
        <w:t xml:space="preserve"> даних для паропроводів, трубопроводів, газопроводів відповідних розмірів Ø274x10 мм ( норма 10 мм), Ø108x4мм ( норма 4 мм), Ø325x11мм ( норма 11 мм) відхилення були</w:t>
      </w:r>
      <w:r>
        <w:rPr>
          <w:spacing w:val="-2"/>
        </w:rPr>
        <w:t xml:space="preserve"> </w:t>
      </w:r>
      <w:r>
        <w:t>незначними.</w:t>
      </w:r>
    </w:p>
    <w:p w:rsidR="006F691A" w:rsidRDefault="006F691A" w:rsidP="006F691A">
      <w:pPr>
        <w:pStyle w:val="a3"/>
        <w:ind w:right="382" w:firstLine="708"/>
      </w:pPr>
      <w:r>
        <w:t xml:space="preserve">Аналіз стану паротурбінного устаткування показав, що відхилення були не­ значними. Необхідно відмітити , що у 2004, 2008 роках дійсна товщина денець і корпусу деаератора №5 була значно менше паспортних  даних  ­ від 30% до 50%). Це вимагає реконструкції </w:t>
      </w:r>
      <w:proofErr w:type="spellStart"/>
      <w:r>
        <w:t>живильно­деаераторного</w:t>
      </w:r>
      <w:proofErr w:type="spellEnd"/>
      <w:r>
        <w:rPr>
          <w:spacing w:val="-4"/>
        </w:rPr>
        <w:t xml:space="preserve"> </w:t>
      </w:r>
      <w:r>
        <w:t>вузла.</w:t>
      </w:r>
    </w:p>
    <w:p w:rsidR="006F691A" w:rsidRDefault="006F691A" w:rsidP="006F691A">
      <w:pPr>
        <w:ind w:left="131" w:right="387" w:firstLine="708"/>
        <w:jc w:val="both"/>
        <w:rPr>
          <w:sz w:val="28"/>
        </w:rPr>
      </w:pPr>
      <w:r>
        <w:rPr>
          <w:i/>
          <w:sz w:val="28"/>
          <w:u w:val="single"/>
        </w:rPr>
        <w:t>Література :</w:t>
      </w:r>
      <w:r>
        <w:rPr>
          <w:b/>
          <w:i/>
          <w:sz w:val="28"/>
        </w:rPr>
        <w:t>1</w:t>
      </w:r>
      <w:r>
        <w:rPr>
          <w:i/>
          <w:sz w:val="28"/>
        </w:rPr>
        <w:t>.Енергетика України</w:t>
      </w:r>
      <w:r>
        <w:rPr>
          <w:sz w:val="28"/>
        </w:rPr>
        <w:t xml:space="preserve">: </w:t>
      </w:r>
      <w:r>
        <w:rPr>
          <w:i/>
          <w:sz w:val="28"/>
        </w:rPr>
        <w:t xml:space="preserve">сучасний стан </w:t>
      </w:r>
      <w:r>
        <w:rPr>
          <w:sz w:val="28"/>
        </w:rPr>
        <w:t xml:space="preserve">і </w:t>
      </w:r>
      <w:r>
        <w:rPr>
          <w:i/>
          <w:sz w:val="28"/>
        </w:rPr>
        <w:t>найближчі перспективи</w:t>
      </w:r>
      <w:r>
        <w:rPr>
          <w:sz w:val="28"/>
        </w:rPr>
        <w:t xml:space="preserve">/ </w:t>
      </w:r>
      <w:r>
        <w:rPr>
          <w:i/>
          <w:sz w:val="28"/>
        </w:rPr>
        <w:t>А</w:t>
      </w:r>
      <w:r>
        <w:rPr>
          <w:sz w:val="28"/>
        </w:rPr>
        <w:t xml:space="preserve">. </w:t>
      </w:r>
      <w:r>
        <w:rPr>
          <w:i/>
          <w:sz w:val="28"/>
        </w:rPr>
        <w:t>А</w:t>
      </w:r>
      <w:r>
        <w:rPr>
          <w:sz w:val="28"/>
        </w:rPr>
        <w:t xml:space="preserve">. </w:t>
      </w:r>
      <w:proofErr w:type="spellStart"/>
      <w:r>
        <w:rPr>
          <w:i/>
          <w:sz w:val="28"/>
        </w:rPr>
        <w:t>Халатов</w:t>
      </w:r>
      <w:proofErr w:type="spellEnd"/>
      <w:r>
        <w:rPr>
          <w:i/>
          <w:sz w:val="28"/>
        </w:rPr>
        <w:t xml:space="preserve"> </w:t>
      </w:r>
      <w:r>
        <w:rPr>
          <w:sz w:val="28"/>
        </w:rPr>
        <w:t xml:space="preserve">// Вісник Національної академії наук </w:t>
      </w:r>
      <w:r>
        <w:rPr>
          <w:i/>
          <w:sz w:val="28"/>
        </w:rPr>
        <w:t>України</w:t>
      </w:r>
      <w:r>
        <w:rPr>
          <w:sz w:val="28"/>
        </w:rPr>
        <w:t>. ­ 2016. ­ № 6. ­ С. 53­61.</w:t>
      </w:r>
    </w:p>
    <w:p w:rsidR="006F691A" w:rsidRDefault="006F691A" w:rsidP="006F691A">
      <w:pPr>
        <w:pStyle w:val="a3"/>
        <w:ind w:right="381" w:firstLine="708"/>
      </w:pPr>
      <w:r>
        <w:rPr>
          <w:b/>
        </w:rPr>
        <w:t xml:space="preserve">2. </w:t>
      </w:r>
      <w:proofErr w:type="spellStart"/>
      <w:r>
        <w:t>Харьковская</w:t>
      </w:r>
      <w:proofErr w:type="spellEnd"/>
      <w:r>
        <w:t xml:space="preserve"> ТЕЦ 3</w:t>
      </w:r>
      <w:r>
        <w:rPr>
          <w:b/>
        </w:rPr>
        <w:t xml:space="preserve">: </w:t>
      </w:r>
      <w:proofErr w:type="spellStart"/>
      <w:r>
        <w:t>стратегия</w:t>
      </w:r>
      <w:proofErr w:type="spellEnd"/>
      <w:r>
        <w:t xml:space="preserve"> </w:t>
      </w:r>
      <w:proofErr w:type="spellStart"/>
      <w:r>
        <w:t>энергосбережения</w:t>
      </w:r>
      <w:proofErr w:type="spellEnd"/>
      <w:r>
        <w:t xml:space="preserve"> и </w:t>
      </w:r>
      <w:proofErr w:type="spellStart"/>
      <w:r>
        <w:t>восстановления</w:t>
      </w:r>
      <w:proofErr w:type="spellEnd"/>
      <w:r>
        <w:t xml:space="preserve"> </w:t>
      </w:r>
      <w:proofErr w:type="spellStart"/>
      <w:r>
        <w:t>элек</w:t>
      </w:r>
      <w:proofErr w:type="spellEnd"/>
      <w:r>
        <w:t xml:space="preserve">­ </w:t>
      </w:r>
      <w:proofErr w:type="spellStart"/>
      <w:r>
        <w:t>трических</w:t>
      </w:r>
      <w:proofErr w:type="spellEnd"/>
      <w:r>
        <w:t xml:space="preserve"> </w:t>
      </w:r>
      <w:proofErr w:type="spellStart"/>
      <w:r>
        <w:t>мощностей</w:t>
      </w:r>
      <w:proofErr w:type="spellEnd"/>
      <w:r>
        <w:t xml:space="preserve">: </w:t>
      </w:r>
      <w:proofErr w:type="spellStart"/>
      <w:r>
        <w:t>Лысак</w:t>
      </w:r>
      <w:proofErr w:type="spellEnd"/>
      <w:r>
        <w:t xml:space="preserve"> Л</w:t>
      </w:r>
      <w:r>
        <w:rPr>
          <w:b/>
        </w:rPr>
        <w:t>.</w:t>
      </w:r>
      <w:r>
        <w:t>В</w:t>
      </w:r>
      <w:r>
        <w:rPr>
          <w:b/>
        </w:rPr>
        <w:t xml:space="preserve">, </w:t>
      </w:r>
      <w:proofErr w:type="spellStart"/>
      <w:r>
        <w:t>Рудич</w:t>
      </w:r>
      <w:proofErr w:type="spellEnd"/>
      <w:r>
        <w:t xml:space="preserve"> Г</w:t>
      </w:r>
      <w:r>
        <w:rPr>
          <w:b/>
        </w:rPr>
        <w:t>.</w:t>
      </w:r>
      <w:r>
        <w:t>И</w:t>
      </w:r>
      <w:r>
        <w:rPr>
          <w:b/>
        </w:rPr>
        <w:t xml:space="preserve">, </w:t>
      </w:r>
      <w:proofErr w:type="spellStart"/>
      <w:r>
        <w:t>КП</w:t>
      </w:r>
      <w:proofErr w:type="spellEnd"/>
      <w:r>
        <w:t xml:space="preserve"> «</w:t>
      </w:r>
      <w:proofErr w:type="spellStart"/>
      <w:r>
        <w:t>Харьковские</w:t>
      </w:r>
      <w:proofErr w:type="spellEnd"/>
      <w:r>
        <w:t xml:space="preserve"> </w:t>
      </w:r>
      <w:proofErr w:type="spellStart"/>
      <w:r>
        <w:lastRenderedPageBreak/>
        <w:t>тепловые</w:t>
      </w:r>
      <w:proofErr w:type="spellEnd"/>
      <w:r>
        <w:t xml:space="preserve"> сети»</w:t>
      </w:r>
      <w:r>
        <w:rPr>
          <w:color w:val="0000FF"/>
          <w:u w:val="single" w:color="0000FF"/>
        </w:rPr>
        <w:t xml:space="preserve"> </w:t>
      </w:r>
      <w:r>
        <w:rPr>
          <w:color w:val="0000FF"/>
          <w:spacing w:val="1"/>
          <w:u w:val="single" w:color="0000FF"/>
        </w:rPr>
        <w:t>h</w:t>
      </w:r>
      <w:r>
        <w:rPr>
          <w:color w:val="0000FF"/>
          <w:spacing w:val="-2"/>
          <w:u w:val="single" w:color="0000FF"/>
        </w:rPr>
        <w:t>t</w:t>
      </w:r>
      <w:r>
        <w:rPr>
          <w:color w:val="0000FF"/>
          <w:u w:val="single" w:color="0000FF"/>
        </w:rPr>
        <w:t>tp</w:t>
      </w:r>
      <w:r>
        <w:rPr>
          <w:color w:val="0000FF"/>
          <w:spacing w:val="-2"/>
          <w:u w:val="single" w:color="0000FF"/>
        </w:rPr>
        <w:t>s</w:t>
      </w:r>
      <w:r>
        <w:rPr>
          <w:color w:val="0000FF"/>
          <w:u w:val="single" w:color="0000FF"/>
        </w:rPr>
        <w:t>://w</w:t>
      </w:r>
      <w:r>
        <w:rPr>
          <w:color w:val="0000FF"/>
          <w:spacing w:val="-2"/>
          <w:u w:val="single" w:color="0000FF"/>
        </w:rPr>
        <w:t>w</w:t>
      </w:r>
      <w:r>
        <w:rPr>
          <w:color w:val="0000FF"/>
          <w:spacing w:val="-1"/>
          <w:u w:val="single" w:color="0000FF"/>
        </w:rPr>
        <w:t>w</w:t>
      </w:r>
      <w:r>
        <w:rPr>
          <w:color w:val="0000FF"/>
          <w:spacing w:val="-2"/>
          <w:u w:val="single" w:color="0000FF"/>
        </w:rPr>
        <w:t>.</w:t>
      </w:r>
      <w:r>
        <w:rPr>
          <w:color w:val="0000FF"/>
          <w:u w:val="single" w:color="0000FF"/>
        </w:rPr>
        <w:t>c</w:t>
      </w:r>
      <w:r>
        <w:rPr>
          <w:color w:val="0000FF"/>
          <w:spacing w:val="1"/>
          <w:u w:val="single" w:color="0000FF"/>
        </w:rPr>
        <w:t>i</w:t>
      </w:r>
      <w:r>
        <w:rPr>
          <w:color w:val="0000FF"/>
          <w:u w:val="single" w:color="0000FF"/>
        </w:rPr>
        <w:t>t</w:t>
      </w:r>
      <w:r>
        <w:rPr>
          <w:color w:val="0000FF"/>
          <w:spacing w:val="-3"/>
          <w:u w:val="single" w:color="0000FF"/>
        </w:rPr>
        <w:t>y</w:t>
      </w:r>
      <w:r>
        <w:t>.</w:t>
      </w:r>
      <w:r>
        <w:rPr>
          <w:spacing w:val="25"/>
        </w:rPr>
        <w:t xml:space="preserve"> </w:t>
      </w:r>
      <w:proofErr w:type="spellStart"/>
      <w:r>
        <w:rPr>
          <w:spacing w:val="1"/>
        </w:rPr>
        <w:t>kh</w:t>
      </w:r>
      <w:r>
        <w:rPr>
          <w:spacing w:val="-3"/>
        </w:rPr>
        <w:t>a</w:t>
      </w:r>
      <w:r>
        <w:t>r</w:t>
      </w:r>
      <w:r>
        <w:rPr>
          <w:spacing w:val="1"/>
        </w:rPr>
        <w:t>k</w:t>
      </w:r>
      <w:r>
        <w:t>ov</w:t>
      </w:r>
      <w:r>
        <w:rPr>
          <w:spacing w:val="-3"/>
        </w:rPr>
        <w:t>.</w:t>
      </w:r>
      <w:r>
        <w:rPr>
          <w:spacing w:val="1"/>
        </w:rPr>
        <w:t>u</w:t>
      </w:r>
      <w:r>
        <w:t>a</w:t>
      </w:r>
      <w:proofErr w:type="spellEnd"/>
      <w:r>
        <w:rPr>
          <w:spacing w:val="26"/>
        </w:rPr>
        <w:t xml:space="preserve"> </w:t>
      </w:r>
      <w:r>
        <w:t xml:space="preserve">›    </w:t>
      </w:r>
      <w:proofErr w:type="spellStart"/>
      <w:r>
        <w:rPr>
          <w:spacing w:val="-1"/>
        </w:rPr>
        <w:t>s</w:t>
      </w:r>
      <w:r>
        <w:rPr>
          <w:spacing w:val="1"/>
        </w:rPr>
        <w:t>e</w:t>
      </w:r>
      <w:r>
        <w:t>ar</w:t>
      </w:r>
      <w:r>
        <w:rPr>
          <w:spacing w:val="-2"/>
        </w:rPr>
        <w:t>c</w:t>
      </w:r>
      <w:r>
        <w:t>h</w:t>
      </w:r>
      <w:proofErr w:type="spellEnd"/>
      <w:r>
        <w:rPr>
          <w:spacing w:val="27"/>
        </w:rPr>
        <w:t xml:space="preserve"> </w:t>
      </w:r>
      <w:r>
        <w:t xml:space="preserve">›  </w:t>
      </w:r>
      <w:r>
        <w:rPr>
          <w:spacing w:val="-26"/>
        </w:rPr>
        <w:t xml:space="preserve"> </w:t>
      </w:r>
      <w:r>
        <w:t>ta</w:t>
      </w:r>
      <w:r>
        <w:rPr>
          <w:spacing w:val="-3"/>
        </w:rPr>
        <w:t>g</w:t>
      </w:r>
      <w:r>
        <w:t>=Т</w:t>
      </w:r>
      <w:r>
        <w:rPr>
          <w:spacing w:val="-175"/>
        </w:rPr>
        <w:t>Э</w:t>
      </w:r>
      <w:r>
        <w:t>­</w:t>
      </w:r>
      <w:r>
        <w:rPr>
          <w:spacing w:val="-61"/>
        </w:rPr>
        <w:t>3</w:t>
      </w:r>
      <w:r>
        <w:rPr>
          <w:spacing w:val="-141"/>
        </w:rPr>
        <w:t>Ц</w:t>
      </w:r>
      <w:r>
        <w:t>.</w:t>
      </w:r>
      <w:r>
        <w:rPr>
          <w:spacing w:val="25"/>
        </w:rPr>
        <w:t xml:space="preserve"> </w:t>
      </w:r>
      <w:r>
        <w:rPr>
          <w:b/>
          <w:spacing w:val="1"/>
        </w:rPr>
        <w:t>3</w:t>
      </w:r>
      <w:r>
        <w:t>.</w:t>
      </w:r>
      <w:r>
        <w:rPr>
          <w:spacing w:val="25"/>
        </w:rPr>
        <w:t xml:space="preserve"> </w:t>
      </w:r>
      <w:proofErr w:type="spellStart"/>
      <w:r>
        <w:t>КП</w:t>
      </w:r>
      <w:proofErr w:type="spellEnd"/>
      <w:r>
        <w:rPr>
          <w:spacing w:val="24"/>
        </w:rPr>
        <w:t xml:space="preserve"> </w:t>
      </w:r>
      <w:r>
        <w:t>«</w:t>
      </w:r>
      <w:r>
        <w:rPr>
          <w:spacing w:val="-3"/>
        </w:rPr>
        <w:t>Х</w:t>
      </w:r>
      <w:r>
        <w:t>а</w:t>
      </w:r>
      <w:r>
        <w:rPr>
          <w:spacing w:val="1"/>
        </w:rPr>
        <w:t>р</w:t>
      </w:r>
      <w:r>
        <w:rPr>
          <w:spacing w:val="-3"/>
        </w:rPr>
        <w:t>к</w:t>
      </w:r>
      <w:r>
        <w:t>івські</w:t>
      </w:r>
      <w:r>
        <w:rPr>
          <w:spacing w:val="27"/>
        </w:rPr>
        <w:t xml:space="preserve"> </w:t>
      </w:r>
      <w:r>
        <w:rPr>
          <w:spacing w:val="-3"/>
        </w:rPr>
        <w:t>т</w:t>
      </w:r>
      <w:r>
        <w:t>еп</w:t>
      </w:r>
      <w:r>
        <w:rPr>
          <w:spacing w:val="-3"/>
        </w:rPr>
        <w:t>л</w:t>
      </w:r>
      <w:r>
        <w:rPr>
          <w:spacing w:val="1"/>
        </w:rPr>
        <w:t>о</w:t>
      </w:r>
      <w:r>
        <w:rPr>
          <w:spacing w:val="-1"/>
        </w:rPr>
        <w:t>в</w:t>
      </w:r>
      <w:r>
        <w:t>і</w:t>
      </w:r>
      <w:r>
        <w:rPr>
          <w:spacing w:val="26"/>
        </w:rPr>
        <w:t xml:space="preserve"> </w:t>
      </w:r>
      <w:r>
        <w:t>м</w:t>
      </w:r>
      <w:r>
        <w:rPr>
          <w:spacing w:val="-3"/>
        </w:rPr>
        <w:t>е</w:t>
      </w:r>
      <w:r>
        <w:rPr>
          <w:spacing w:val="1"/>
        </w:rPr>
        <w:t>р</w:t>
      </w:r>
      <w:r>
        <w:t>е</w:t>
      </w:r>
      <w:r>
        <w:rPr>
          <w:spacing w:val="-2"/>
        </w:rPr>
        <w:t>ж</w:t>
      </w:r>
      <w:r>
        <w:t xml:space="preserve">і» Проект «Підвищення </w:t>
      </w:r>
      <w:proofErr w:type="spellStart"/>
      <w:r>
        <w:t>енергоефективності</w:t>
      </w:r>
      <w:proofErr w:type="spellEnd"/>
      <w:r>
        <w:t xml:space="preserve"> в </w:t>
      </w:r>
      <w:proofErr w:type="spellStart"/>
      <w:r>
        <w:t>секторіт</w:t>
      </w:r>
      <w:proofErr w:type="spellEnd"/>
      <w:r>
        <w:t xml:space="preserve"> централізованого </w:t>
      </w:r>
      <w:proofErr w:type="spellStart"/>
      <w:r>
        <w:t>теплопоста</w:t>
      </w:r>
      <w:proofErr w:type="spellEnd"/>
      <w:r>
        <w:t xml:space="preserve">­ </w:t>
      </w:r>
      <w:proofErr w:type="spellStart"/>
      <w:r>
        <w:t>чання</w:t>
      </w:r>
      <w:proofErr w:type="spellEnd"/>
      <w:r>
        <w:t xml:space="preserve"> України», План екологічного та соціального управління (для проектів категорії В), Харків – 2018.</w:t>
      </w:r>
    </w:p>
    <w:p w:rsidR="00A5512E" w:rsidRDefault="00A5512E"/>
    <w:sectPr w:rsidR="00A5512E" w:rsidSect="00A551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6F691A"/>
    <w:rsid w:val="006F691A"/>
    <w:rsid w:val="00A55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F69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F691A"/>
    <w:pPr>
      <w:ind w:left="131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F691A"/>
    <w:rPr>
      <w:rFonts w:ascii="Times New Roman" w:eastAsia="Times New Roman" w:hAnsi="Times New Roman" w:cs="Times New Roman"/>
      <w:sz w:val="28"/>
      <w:szCs w:val="28"/>
      <w:lang w:eastAsia="uk-UA" w:bidi="uk-UA"/>
    </w:rPr>
  </w:style>
  <w:style w:type="paragraph" w:customStyle="1" w:styleId="Heading1">
    <w:name w:val="Heading 1"/>
    <w:basedOn w:val="a"/>
    <w:uiPriority w:val="1"/>
    <w:qFormat/>
    <w:rsid w:val="006F691A"/>
    <w:pPr>
      <w:ind w:left="131" w:firstLine="708"/>
      <w:jc w:val="both"/>
      <w:outlineLvl w:val="1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1980</Words>
  <Characters>1130</Characters>
  <Application>Microsoft Office Word</Application>
  <DocSecurity>0</DocSecurity>
  <Lines>9</Lines>
  <Paragraphs>6</Paragraphs>
  <ScaleCrop>false</ScaleCrop>
  <Company>Krokoz™</Company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2020-10-30T09:20:00Z</dcterms:created>
  <dcterms:modified xsi:type="dcterms:W3CDTF">2020-10-30T09:22:00Z</dcterms:modified>
</cp:coreProperties>
</file>