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08" w:rsidRDefault="00F71708" w:rsidP="00F71708">
      <w:pPr>
        <w:pStyle w:val="Heading1"/>
        <w:ind w:right="385"/>
      </w:pPr>
      <w:r>
        <w:t>Нечуйвітер М.М. ДО ВИБОРУ ОПТИМАЛЬНИХ ТЕХНІЧНИХ РІШЕНЬ</w:t>
      </w:r>
      <w:bookmarkStart w:id="0" w:name="Нечуйвітер_М.М._ДО_ВИБОРУ_ОПТИМАЛЬНИХ_ТЕ"/>
      <w:bookmarkEnd w:id="0"/>
      <w:r>
        <w:t xml:space="preserve"> З ПІДВИЩЕННЯ ТЕП ХАРКІВСЬКОЇ ТЕЦ-3</w:t>
      </w:r>
    </w:p>
    <w:p w:rsidR="00F71708" w:rsidRDefault="00F71708" w:rsidP="00F71708">
      <w:pPr>
        <w:pStyle w:val="a3"/>
        <w:spacing w:before="5"/>
        <w:ind w:left="0"/>
        <w:jc w:val="left"/>
        <w:rPr>
          <w:b/>
          <w:sz w:val="27"/>
        </w:rPr>
      </w:pPr>
    </w:p>
    <w:p w:rsidR="00F71708" w:rsidRDefault="00F71708" w:rsidP="00F71708">
      <w:pPr>
        <w:pStyle w:val="a3"/>
        <w:ind w:right="382" w:firstLine="708"/>
      </w:pPr>
      <w:r>
        <w:t xml:space="preserve">Використання резервів теплових потужностей та розвиток вітчизняних підприємств тепло енергетичного комплексу ґрунтується на основних положеннях стратегії розвитку </w:t>
      </w:r>
      <w:proofErr w:type="spellStart"/>
      <w:r>
        <w:t>ядерно­енергетичного</w:t>
      </w:r>
      <w:proofErr w:type="spellEnd"/>
      <w:r>
        <w:t xml:space="preserve"> комплексу України на період до 2030 . </w:t>
      </w:r>
      <w:proofErr w:type="spellStart"/>
      <w:r>
        <w:t>Техніко­економічне</w:t>
      </w:r>
      <w:proofErr w:type="spellEnd"/>
      <w:r>
        <w:t xml:space="preserve"> обґрунтування , оцінка величини капітальних затрат, при умові ефективності інвестування, гарантує </w:t>
      </w:r>
      <w:proofErr w:type="spellStart"/>
      <w:r>
        <w:t>конкурентноздатність</w:t>
      </w:r>
      <w:proofErr w:type="spellEnd"/>
      <w:r>
        <w:t xml:space="preserve"> теплової енергетики України на</w:t>
      </w:r>
      <w:r>
        <w:rPr>
          <w:spacing w:val="68"/>
        </w:rPr>
        <w:t xml:space="preserve"> </w:t>
      </w:r>
      <w:proofErr w:type="spellStart"/>
      <w:r>
        <w:t>енергоринках</w:t>
      </w:r>
      <w:proofErr w:type="spellEnd"/>
      <w:r>
        <w:t>.</w:t>
      </w:r>
    </w:p>
    <w:p w:rsidR="00F71708" w:rsidRDefault="00F71708" w:rsidP="00F71708">
      <w:pPr>
        <w:pStyle w:val="a3"/>
        <w:ind w:right="384" w:firstLine="708"/>
      </w:pPr>
      <w:r>
        <w:t>Однією з актуальних проблем сучасної енергетики України є підвищення енергетичної ефективності шляхом модернізації, реконструкції існуючого тепло­ енергетичного устаткування енергоблоків теплових, атомних електростанцій, у тому числі теплоелектроцентралей .</w:t>
      </w:r>
    </w:p>
    <w:p w:rsidR="00F71708" w:rsidRDefault="00F71708" w:rsidP="00F71708">
      <w:pPr>
        <w:pStyle w:val="a3"/>
        <w:spacing w:before="1"/>
        <w:ind w:right="384" w:firstLine="708"/>
      </w:pPr>
      <w:r>
        <w:t xml:space="preserve">Для умов Харківської ТЕЦ 3, на долю котрої припадає 20 % виробництва теплової енергії теплоелектроцентралями міста (Харківська ТЕЦ 5), вирішення цієї проблеми досягається перспективним напрямом – це ­ нарощуванням об'ємів комбінованого виробництва електричної і теплової енергії шляхом установки турбіни теплофікації потужністю 20 МВт на параметри енергетичних котлів серед­ нього тиску, а саме: типу ПТ­20­2,9/1,0 с генератором Т­20­2 на фундаменті </w:t>
      </w:r>
      <w:proofErr w:type="spellStart"/>
      <w:r>
        <w:t>бувшо</w:t>
      </w:r>
      <w:proofErr w:type="spellEnd"/>
      <w:r>
        <w:t xml:space="preserve">­ </w:t>
      </w:r>
      <w:proofErr w:type="spellStart"/>
      <w:r>
        <w:t>го</w:t>
      </w:r>
      <w:proofErr w:type="spellEnd"/>
      <w:r>
        <w:t xml:space="preserve"> ТГ­2 (АТ­25­1) ЛМЗ с генератором від газової турбіни типа ГТА­18.</w:t>
      </w:r>
    </w:p>
    <w:p w:rsidR="00F71708" w:rsidRDefault="00F71708" w:rsidP="00F71708">
      <w:pPr>
        <w:pStyle w:val="a3"/>
        <w:ind w:right="387" w:firstLine="708"/>
      </w:pPr>
      <w:r>
        <w:t>Упровадження в роботу цієї турбіни орієнтовно дозволить скоротити питомі витрати палива на виробництво теплової енергії на 3­4 % .</w:t>
      </w:r>
    </w:p>
    <w:p w:rsidR="00F71708" w:rsidRDefault="00F71708" w:rsidP="00F71708">
      <w:pPr>
        <w:pStyle w:val="a3"/>
        <w:ind w:right="384" w:firstLine="708"/>
      </w:pPr>
      <w:r>
        <w:t xml:space="preserve">Особливо напружене становище складається з роботою турбінних установок. Турбоагрегати №3 і №4 встановленою потужністю по 24 МВт кожного відпрацювали відповідно 383 і 346 тис. годин . </w:t>
      </w:r>
      <w:proofErr w:type="spellStart"/>
      <w:r>
        <w:t>Із­за</w:t>
      </w:r>
      <w:proofErr w:type="spellEnd"/>
      <w:r>
        <w:t xml:space="preserve"> фізичного зносу проточних час­ тин їх максимальна робоча потужність складає 18 МВт і 14 МВт. Постійно збільшуються об'єми і тривалість їх</w:t>
      </w:r>
      <w:r>
        <w:rPr>
          <w:spacing w:val="-1"/>
        </w:rPr>
        <w:t xml:space="preserve"> </w:t>
      </w:r>
      <w:r>
        <w:t>ремонтів.</w:t>
      </w:r>
    </w:p>
    <w:p w:rsidR="00F71708" w:rsidRDefault="00F71708" w:rsidP="00F71708">
      <w:pPr>
        <w:pStyle w:val="a3"/>
        <w:ind w:right="383" w:firstLine="708"/>
      </w:pPr>
      <w:r>
        <w:t xml:space="preserve">Введення в експлуатацію нового устаткування дозволить </w:t>
      </w:r>
      <w:proofErr w:type="spellStart"/>
      <w:r>
        <w:t>бпокращити</w:t>
      </w:r>
      <w:proofErr w:type="spellEnd"/>
      <w:r>
        <w:t xml:space="preserve"> </w:t>
      </w:r>
      <w:proofErr w:type="spellStart"/>
      <w:r>
        <w:t>систе</w:t>
      </w:r>
      <w:proofErr w:type="spellEnd"/>
      <w:r>
        <w:t xml:space="preserve">­ </w:t>
      </w:r>
      <w:proofErr w:type="spellStart"/>
      <w:r>
        <w:t>му</w:t>
      </w:r>
      <w:proofErr w:type="spellEnd"/>
      <w:r>
        <w:t xml:space="preserve"> виробництва теплоти , і з питомих 250­252 кг витрати палива на 1 </w:t>
      </w:r>
      <w:proofErr w:type="spellStart"/>
      <w:r>
        <w:t>Гкал</w:t>
      </w:r>
      <w:proofErr w:type="spellEnd"/>
      <w:r>
        <w:t xml:space="preserve"> вийти на 144 кг на 1 </w:t>
      </w:r>
      <w:proofErr w:type="spellStart"/>
      <w:r>
        <w:t>Гкал</w:t>
      </w:r>
      <w:proofErr w:type="spellEnd"/>
      <w:r>
        <w:t xml:space="preserve">. Також це дасть можливість відмовитися від менш економних водогрійних котлів, при цьому об'єм відпуску електроенергії зросте на 15­20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кВт.год</w:t>
      </w:r>
      <w:proofErr w:type="spellEnd"/>
      <w:r>
        <w:t xml:space="preserve"> .</w:t>
      </w:r>
    </w:p>
    <w:p w:rsidR="00F71708" w:rsidRDefault="00F71708" w:rsidP="00F71708">
      <w:pPr>
        <w:pStyle w:val="a3"/>
        <w:ind w:right="383" w:firstLine="708"/>
      </w:pPr>
      <w:r>
        <w:t xml:space="preserve">Завдяки модернізації технічна ефективність ­ виробництво теплової і електричної енергії на ТЭЦ­ 3 зросте на 20­22%. На реалізацію цього </w:t>
      </w:r>
      <w:proofErr w:type="spellStart"/>
      <w:r>
        <w:t>проекта</w:t>
      </w:r>
      <w:proofErr w:type="spellEnd"/>
      <w:r>
        <w:t xml:space="preserve"> планується направити біля 20 млн. доларів США [1], що підкреслює необхідність </w:t>
      </w:r>
      <w:proofErr w:type="spellStart"/>
      <w:r>
        <w:t>техніко­економічного</w:t>
      </w:r>
      <w:proofErr w:type="spellEnd"/>
      <w:r>
        <w:t xml:space="preserve"> </w:t>
      </w:r>
      <w:proofErr w:type="spellStart"/>
      <w:r>
        <w:t>обгрунтування</w:t>
      </w:r>
      <w:proofErr w:type="spellEnd"/>
      <w:r>
        <w:t xml:space="preserve"> цього технічного рішення на основі сучасних методик оцінки економічної ефективності з урахуванням дисконтування .</w:t>
      </w:r>
    </w:p>
    <w:p w:rsidR="00F71708" w:rsidRDefault="00F71708" w:rsidP="00F71708">
      <w:pPr>
        <w:pStyle w:val="a3"/>
        <w:spacing w:line="320" w:lineRule="exact"/>
        <w:ind w:left="2611" w:right="2160"/>
        <w:jc w:val="center"/>
      </w:pPr>
      <w:r>
        <w:t>ЛІТЕРАТУРА</w:t>
      </w:r>
    </w:p>
    <w:p w:rsidR="00F71708" w:rsidRDefault="00F71708" w:rsidP="00F71708">
      <w:pPr>
        <w:pStyle w:val="a5"/>
        <w:numPr>
          <w:ilvl w:val="1"/>
          <w:numId w:val="1"/>
        </w:numPr>
        <w:tabs>
          <w:tab w:val="left" w:pos="1053"/>
        </w:tabs>
        <w:ind w:right="381" w:firstLine="708"/>
        <w:jc w:val="both"/>
        <w:rPr>
          <w:sz w:val="28"/>
        </w:rPr>
      </w:pPr>
      <w:r w:rsidRPr="009240BA">
        <w:pict>
          <v:line id="_x0000_s1026" style="position:absolute;left:0;text-align:left;z-index:-251656192;mso-position-horizontal-relative:page" from="42.6pt,31.2pt" to="552.85pt,31.2pt" strokecolor="blue" strokeweight=".72pt">
            <w10:wrap anchorx="page"/>
          </v:line>
        </w:pict>
      </w:r>
      <w:proofErr w:type="spellStart"/>
      <w:r>
        <w:rPr>
          <w:sz w:val="28"/>
        </w:rPr>
        <w:t>Харьковскую</w:t>
      </w:r>
      <w:proofErr w:type="spellEnd"/>
      <w:r>
        <w:rPr>
          <w:sz w:val="28"/>
        </w:rPr>
        <w:t xml:space="preserve"> ТЭЦ­3 </w:t>
      </w:r>
      <w:proofErr w:type="spellStart"/>
      <w:r>
        <w:rPr>
          <w:sz w:val="28"/>
        </w:rPr>
        <w:t>ожидает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модернизация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счет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z w:val="28"/>
        </w:rPr>
        <w:t xml:space="preserve"> мирового банка.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</w:rPr>
          <w:t xml:space="preserve">www.city.kharkov.ua/.../kharkivsku­tets­3­ochikue </w:t>
        </w:r>
        <w:proofErr w:type="spellStart"/>
        <w:r>
          <w:rPr>
            <w:color w:val="0000FF"/>
            <w:sz w:val="28"/>
          </w:rPr>
          <w:t>moderniza</w:t>
        </w:r>
        <w:proofErr w:type="spellEnd"/>
        <w:r>
          <w:rPr>
            <w:color w:val="0000FF"/>
            <w:sz w:val="28"/>
          </w:rPr>
          <w:t xml:space="preserve"> </w:t>
        </w:r>
        <w:proofErr w:type="spellStart"/>
        <w:r>
          <w:rPr>
            <w:color w:val="0000FF"/>
            <w:sz w:val="28"/>
          </w:rPr>
          <w:t>­tsiya­za</w:t>
        </w:r>
        <w:proofErr w:type="spellEnd"/>
        <w:r>
          <w:rPr>
            <w:color w:val="0000FF"/>
            <w:sz w:val="28"/>
          </w:rPr>
          <w:t xml:space="preserve">­ </w:t>
        </w:r>
        <w:proofErr w:type="spellStart"/>
        <w:r>
          <w:rPr>
            <w:color w:val="0000FF"/>
            <w:sz w:val="28"/>
          </w:rPr>
          <w:t>rakhunok</w:t>
        </w:r>
        <w:proofErr w:type="spellEnd"/>
        <w:r>
          <w:rPr>
            <w:color w:val="0000FF"/>
            <w:sz w:val="28"/>
          </w:rPr>
          <w:t>­</w:t>
        </w:r>
      </w:hyperlink>
      <w:hyperlink r:id="rId6">
        <w:r>
          <w:rPr>
            <w:color w:val="0000FF"/>
            <w:sz w:val="28"/>
            <w:u w:val="single" w:color="0000FF"/>
          </w:rPr>
          <w:t xml:space="preserve"> koshtiv­svitovogo­banku­28509.html</w:t>
        </w:r>
      </w:hyperlink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71B"/>
    <w:multiLevelType w:val="hybridMultilevel"/>
    <w:tmpl w:val="14C89E98"/>
    <w:lvl w:ilvl="0" w:tplc="C8F4CFEC">
      <w:start w:val="1"/>
      <w:numFmt w:val="decimal"/>
      <w:lvlText w:val="%1."/>
      <w:lvlJc w:val="left"/>
      <w:pPr>
        <w:ind w:left="844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1996E01A">
      <w:start w:val="1"/>
      <w:numFmt w:val="decimal"/>
      <w:lvlText w:val="%2."/>
      <w:lvlJc w:val="left"/>
      <w:pPr>
        <w:ind w:left="131" w:hanging="21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uk-UA" w:eastAsia="uk-UA" w:bidi="uk-UA"/>
      </w:rPr>
    </w:lvl>
    <w:lvl w:ilvl="2" w:tplc="D3B2EF9E">
      <w:numFmt w:val="bullet"/>
      <w:lvlText w:val="•"/>
      <w:lvlJc w:val="left"/>
      <w:pPr>
        <w:ind w:left="1938" w:hanging="213"/>
      </w:pPr>
      <w:rPr>
        <w:rFonts w:hint="default"/>
        <w:lang w:val="uk-UA" w:eastAsia="uk-UA" w:bidi="uk-UA"/>
      </w:rPr>
    </w:lvl>
    <w:lvl w:ilvl="3" w:tplc="2CCCF620">
      <w:numFmt w:val="bullet"/>
      <w:lvlText w:val="•"/>
      <w:lvlJc w:val="left"/>
      <w:pPr>
        <w:ind w:left="3036" w:hanging="213"/>
      </w:pPr>
      <w:rPr>
        <w:rFonts w:hint="default"/>
        <w:lang w:val="uk-UA" w:eastAsia="uk-UA" w:bidi="uk-UA"/>
      </w:rPr>
    </w:lvl>
    <w:lvl w:ilvl="4" w:tplc="DA0A5910">
      <w:numFmt w:val="bullet"/>
      <w:lvlText w:val="•"/>
      <w:lvlJc w:val="left"/>
      <w:pPr>
        <w:ind w:left="4135" w:hanging="213"/>
      </w:pPr>
      <w:rPr>
        <w:rFonts w:hint="default"/>
        <w:lang w:val="uk-UA" w:eastAsia="uk-UA" w:bidi="uk-UA"/>
      </w:rPr>
    </w:lvl>
    <w:lvl w:ilvl="5" w:tplc="17C2EC8C">
      <w:numFmt w:val="bullet"/>
      <w:lvlText w:val="•"/>
      <w:lvlJc w:val="left"/>
      <w:pPr>
        <w:ind w:left="5233" w:hanging="213"/>
      </w:pPr>
      <w:rPr>
        <w:rFonts w:hint="default"/>
        <w:lang w:val="uk-UA" w:eastAsia="uk-UA" w:bidi="uk-UA"/>
      </w:rPr>
    </w:lvl>
    <w:lvl w:ilvl="6" w:tplc="526C8842">
      <w:numFmt w:val="bullet"/>
      <w:lvlText w:val="•"/>
      <w:lvlJc w:val="left"/>
      <w:pPr>
        <w:ind w:left="6331" w:hanging="213"/>
      </w:pPr>
      <w:rPr>
        <w:rFonts w:hint="default"/>
        <w:lang w:val="uk-UA" w:eastAsia="uk-UA" w:bidi="uk-UA"/>
      </w:rPr>
    </w:lvl>
    <w:lvl w:ilvl="7" w:tplc="C42C5644">
      <w:numFmt w:val="bullet"/>
      <w:lvlText w:val="•"/>
      <w:lvlJc w:val="left"/>
      <w:pPr>
        <w:ind w:left="7430" w:hanging="213"/>
      </w:pPr>
      <w:rPr>
        <w:rFonts w:hint="default"/>
        <w:lang w:val="uk-UA" w:eastAsia="uk-UA" w:bidi="uk-UA"/>
      </w:rPr>
    </w:lvl>
    <w:lvl w:ilvl="8" w:tplc="D87ED11E">
      <w:numFmt w:val="bullet"/>
      <w:lvlText w:val="•"/>
      <w:lvlJc w:val="left"/>
      <w:pPr>
        <w:ind w:left="852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1708"/>
    <w:rsid w:val="00A5512E"/>
    <w:rsid w:val="00F7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1708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F7170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F71708"/>
    <w:pPr>
      <w:widowControl w:val="0"/>
      <w:autoSpaceDE w:val="0"/>
      <w:autoSpaceDN w:val="0"/>
      <w:spacing w:after="0" w:line="240" w:lineRule="auto"/>
      <w:ind w:left="131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F71708"/>
    <w:pPr>
      <w:widowControl w:val="0"/>
      <w:autoSpaceDE w:val="0"/>
      <w:autoSpaceDN w:val="0"/>
      <w:spacing w:after="0" w:line="240" w:lineRule="auto"/>
      <w:ind w:left="131" w:firstLine="708"/>
      <w:jc w:val="both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kharkov.ua/.../kharkivsku-tets-3-ochikue%20%20moderniza%20-tsiya-za-%20rakhunok-koshtiv-svitovogo-banku-28509.html" TargetMode="External"/><Relationship Id="rId5" Type="http://schemas.openxmlformats.org/officeDocument/2006/relationships/hyperlink" Target="http://www.city.kharkov.ua/.../kharkivsku-tets-3-ochikue%20%20moderniza%20-tsiya-za-%20rakhunok-koshtiv-svitovogo-banku-285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1066</Characters>
  <Application>Microsoft Office Word</Application>
  <DocSecurity>0</DocSecurity>
  <Lines>8</Lines>
  <Paragraphs>5</Paragraphs>
  <ScaleCrop>false</ScaleCrop>
  <Company>Krokoz™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2020-10-30T09:08:00Z</dcterms:created>
  <dcterms:modified xsi:type="dcterms:W3CDTF">2020-10-30T09:11:00Z</dcterms:modified>
</cp:coreProperties>
</file>