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F" w:rsidRPr="007E3496" w:rsidRDefault="0068018F" w:rsidP="0068018F">
      <w:pPr>
        <w:pStyle w:val="1"/>
        <w:jc w:val="left"/>
        <w:rPr>
          <w:lang w:val="uk-UA"/>
        </w:rPr>
      </w:pPr>
      <w:bookmarkStart w:id="0" w:name="_Toc486808443"/>
      <w:r>
        <w:rPr>
          <w:lang w:val="uk-UA"/>
        </w:rPr>
        <w:t xml:space="preserve">Канюк Г.І., </w:t>
      </w:r>
      <w:r w:rsidRPr="007E3496">
        <w:rPr>
          <w:lang w:val="uk-UA"/>
        </w:rPr>
        <w:t xml:space="preserve">Чернюк </w:t>
      </w:r>
      <w:r>
        <w:rPr>
          <w:lang w:val="uk-UA"/>
        </w:rPr>
        <w:t xml:space="preserve">А.М., Князєва В.М., </w:t>
      </w:r>
      <w:r w:rsidRPr="007E3496">
        <w:rPr>
          <w:lang w:val="uk-UA"/>
        </w:rPr>
        <w:t>Дон А.В.</w:t>
      </w:r>
      <w:r>
        <w:rPr>
          <w:lang w:val="uk-UA"/>
        </w:rPr>
        <w:t xml:space="preserve"> </w:t>
      </w:r>
      <w:r w:rsidRPr="007E3496">
        <w:rPr>
          <w:lang w:val="uk-UA"/>
        </w:rPr>
        <w:t>ПІДВИЩЕННЯ ЕНЕРГЕТИЧНОЇ ЕФЕКТИВНОСТІ РОБОТИ ЕЛЕКТРИЧНИХ НАСОСІВ НАФТОПЕРЕКАЧУВАЛЬНИХ СТАНЦІЙ МАГІСТРАЛЬНИХ НАФТОПРОВОДІВ</w:t>
      </w:r>
      <w:r>
        <w:rPr>
          <w:lang w:val="uk-UA"/>
        </w:rPr>
        <w:t xml:space="preserve"> МЕТОДАМИ АВТОМАТИЗОВАНОГО УПРАВЛІННЯ</w:t>
      </w:r>
      <w:bookmarkEnd w:id="0"/>
    </w:p>
    <w:p w:rsidR="0068018F" w:rsidRDefault="0068018F" w:rsidP="0068018F">
      <w:pPr>
        <w:ind w:firstLine="708"/>
        <w:rPr>
          <w:lang w:val="uk-UA"/>
        </w:rPr>
      </w:pPr>
    </w:p>
    <w:p w:rsidR="00CF1549" w:rsidRPr="007E3496" w:rsidRDefault="00CF1549" w:rsidP="00CF1549">
      <w:pPr>
        <w:pStyle w:val="1"/>
        <w:jc w:val="left"/>
        <w:rPr>
          <w:lang w:val="uk-UA"/>
        </w:rPr>
      </w:pPr>
      <w:r>
        <w:rPr>
          <w:lang w:val="uk-UA"/>
        </w:rPr>
        <w:t xml:space="preserve">Канюк Г.І., </w:t>
      </w:r>
      <w:r w:rsidRPr="007E3496">
        <w:rPr>
          <w:lang w:val="uk-UA"/>
        </w:rPr>
        <w:t xml:space="preserve">Чернюк </w:t>
      </w:r>
      <w:r>
        <w:rPr>
          <w:lang w:val="uk-UA"/>
        </w:rPr>
        <w:t xml:space="preserve">А.М., Князєва В.М., </w:t>
      </w:r>
      <w:r w:rsidRPr="007E3496">
        <w:rPr>
          <w:lang w:val="uk-UA"/>
        </w:rPr>
        <w:t>Дон А.В.</w:t>
      </w:r>
      <w:r>
        <w:rPr>
          <w:lang w:val="uk-UA"/>
        </w:rPr>
        <w:t xml:space="preserve"> </w:t>
      </w:r>
      <w:r w:rsidRPr="007E3496">
        <w:rPr>
          <w:lang w:val="uk-UA"/>
        </w:rPr>
        <w:t>ПІДВИЩЕННЯ ЕНЕРГЕТИЧНОЇ ЕФЕКТИВНОСТІ РОБОТИ ЕЛЕКТРИЧНИХ НАСОСІВ НАФТОПЕРЕКАЧУВАЛЬНИХ СТАНЦІЙ МАГІСТРАЛЬНИХ НАФТОПРОВОДІВ</w:t>
      </w:r>
      <w:r>
        <w:rPr>
          <w:lang w:val="uk-UA"/>
        </w:rPr>
        <w:t xml:space="preserve"> МЕТОДАМИ АВТОМАТИЗОВАНОГО УПРАВЛІННЯ</w:t>
      </w:r>
    </w:p>
    <w:p w:rsidR="00CF1549" w:rsidRDefault="00CF1549" w:rsidP="00CF1549">
      <w:pPr>
        <w:ind w:firstLine="708"/>
        <w:rPr>
          <w:lang w:val="uk-UA"/>
        </w:rPr>
      </w:pPr>
    </w:p>
    <w:p w:rsidR="00CF1549" w:rsidRDefault="00CF1549" w:rsidP="00CF1549">
      <w:pPr>
        <w:ind w:firstLine="708"/>
        <w:rPr>
          <w:lang w:val="uk-UA"/>
        </w:rPr>
      </w:pPr>
      <w:r w:rsidRPr="007E3496">
        <w:rPr>
          <w:lang w:val="uk-UA"/>
        </w:rPr>
        <w:t xml:space="preserve">Україна </w:t>
      </w:r>
      <w:r>
        <w:rPr>
          <w:lang w:val="uk-UA"/>
        </w:rPr>
        <w:t>має чи не найбільший транзитний потенціал перекачки енергоресурсів в порі</w:t>
      </w:r>
      <w:r>
        <w:rPr>
          <w:lang w:val="uk-UA"/>
        </w:rPr>
        <w:t>в</w:t>
      </w:r>
      <w:r>
        <w:rPr>
          <w:lang w:val="uk-UA"/>
        </w:rPr>
        <w:t xml:space="preserve">нянні з іншими країнами Європи. </w:t>
      </w:r>
      <w:r w:rsidRPr="007E3496">
        <w:rPr>
          <w:lang w:val="uk-UA"/>
        </w:rPr>
        <w:t xml:space="preserve">Основним споживачем енергії нафтотранспортної системи України є електроприводи насосних агрегатів </w:t>
      </w:r>
      <w:proofErr w:type="spellStart"/>
      <w:r w:rsidRPr="007E3496">
        <w:rPr>
          <w:lang w:val="uk-UA"/>
        </w:rPr>
        <w:t>нафтоперекачувальних</w:t>
      </w:r>
      <w:proofErr w:type="spellEnd"/>
      <w:r w:rsidRPr="007E3496">
        <w:rPr>
          <w:lang w:val="uk-UA"/>
        </w:rPr>
        <w:t xml:space="preserve"> станцій. Як </w:t>
      </w:r>
      <w:proofErr w:type="spellStart"/>
      <w:r w:rsidRPr="007E3496">
        <w:rPr>
          <w:lang w:val="uk-UA"/>
        </w:rPr>
        <w:t>електро-приводів</w:t>
      </w:r>
      <w:proofErr w:type="spellEnd"/>
      <w:r w:rsidRPr="007E3496">
        <w:rPr>
          <w:lang w:val="uk-UA"/>
        </w:rPr>
        <w:t xml:space="preserve"> використовуються переважно асинхронні і синхронні електродвигуни. Енергетичні х</w:t>
      </w:r>
      <w:r w:rsidRPr="007E3496">
        <w:rPr>
          <w:lang w:val="uk-UA"/>
        </w:rPr>
        <w:t>а</w:t>
      </w:r>
      <w:r w:rsidRPr="007E3496">
        <w:rPr>
          <w:lang w:val="uk-UA"/>
        </w:rPr>
        <w:t>рактеристики роботи електроприводу визначається коефіцієнтом по-корисного дії електродвиг</w:t>
      </w:r>
      <w:r w:rsidRPr="007E3496">
        <w:rPr>
          <w:lang w:val="uk-UA"/>
        </w:rPr>
        <w:t>у</w:t>
      </w:r>
      <w:r w:rsidRPr="007E3496">
        <w:rPr>
          <w:lang w:val="uk-UA"/>
        </w:rPr>
        <w:t xml:space="preserve">на. Паспортний ККД </w:t>
      </w:r>
      <w:proofErr w:type="spellStart"/>
      <w:r w:rsidRPr="007E3496">
        <w:rPr>
          <w:lang w:val="uk-UA"/>
        </w:rPr>
        <w:t>електроприводних</w:t>
      </w:r>
      <w:proofErr w:type="spellEnd"/>
      <w:r w:rsidRPr="007E3496">
        <w:rPr>
          <w:lang w:val="uk-UA"/>
        </w:rPr>
        <w:t xml:space="preserve"> двигунів </w:t>
      </w:r>
      <w:r>
        <w:rPr>
          <w:lang w:val="uk-UA"/>
        </w:rPr>
        <w:t xml:space="preserve">нафтових </w:t>
      </w:r>
      <w:r w:rsidRPr="007E3496">
        <w:rPr>
          <w:lang w:val="uk-UA"/>
        </w:rPr>
        <w:t>магістральних насосів (наприклад с</w:t>
      </w:r>
      <w:r w:rsidRPr="007E3496">
        <w:rPr>
          <w:lang w:val="uk-UA"/>
        </w:rPr>
        <w:t>е</w:t>
      </w:r>
      <w:r w:rsidRPr="007E3496">
        <w:rPr>
          <w:lang w:val="uk-UA"/>
        </w:rPr>
        <w:t xml:space="preserve">рії НМ) знаходиться в межах від 79 до 90%. Однак ці значення характеризують роботу двигуна в штатному (найбільш </w:t>
      </w:r>
      <w:proofErr w:type="spellStart"/>
      <w:r>
        <w:rPr>
          <w:lang w:val="uk-UA"/>
        </w:rPr>
        <w:t>енергоефективному</w:t>
      </w:r>
      <w:proofErr w:type="spellEnd"/>
      <w:r w:rsidRPr="007E3496">
        <w:rPr>
          <w:lang w:val="uk-UA"/>
        </w:rPr>
        <w:t>) режимі і не враховують значного зниження ККД при зміні режиму роботи насоса.</w:t>
      </w:r>
    </w:p>
    <w:p w:rsidR="00CF1549" w:rsidRDefault="00CF1549" w:rsidP="00CF1549">
      <w:pPr>
        <w:ind w:firstLine="720"/>
        <w:rPr>
          <w:lang w:val="uk-UA"/>
        </w:rPr>
      </w:pPr>
      <w:r>
        <w:rPr>
          <w:lang w:val="uk-UA"/>
        </w:rPr>
        <w:t xml:space="preserve">З метою забезпечення роботи нафтопроводів в так званих молодших режимах, коли обсяг транспортування нафти складає від 75 до 25% максимальної потужності </w:t>
      </w:r>
      <w:proofErr w:type="spellStart"/>
      <w:r>
        <w:rPr>
          <w:lang w:val="uk-UA"/>
        </w:rPr>
        <w:t>нафтопровода</w:t>
      </w:r>
      <w:proofErr w:type="spellEnd"/>
      <w:r>
        <w:rPr>
          <w:lang w:val="uk-UA"/>
        </w:rPr>
        <w:t xml:space="preserve"> застос</w:t>
      </w:r>
      <w:r>
        <w:rPr>
          <w:lang w:val="uk-UA"/>
        </w:rPr>
        <w:t>о</w:t>
      </w:r>
      <w:r>
        <w:rPr>
          <w:lang w:val="uk-UA"/>
        </w:rPr>
        <w:t>вують відповідне регулювання режиму роботи МНП. Слід виділити такі методи регулювання як: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1. З</w:t>
      </w:r>
      <w:r w:rsidRPr="000B0FAD">
        <w:rPr>
          <w:lang w:val="uk-UA"/>
        </w:rPr>
        <w:t>міна кількості працюючих насосів НПС;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2. З</w:t>
      </w:r>
      <w:r w:rsidRPr="000B0FAD">
        <w:rPr>
          <w:lang w:val="uk-UA"/>
        </w:rPr>
        <w:t>міна схеми з'єднання насосів на НПС;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3.</w:t>
      </w:r>
      <w:r w:rsidRPr="000B0FAD">
        <w:rPr>
          <w:lang w:val="uk-UA"/>
        </w:rPr>
        <w:t xml:space="preserve"> </w:t>
      </w:r>
      <w:r>
        <w:rPr>
          <w:lang w:val="uk-UA"/>
        </w:rPr>
        <w:t>З</w:t>
      </w:r>
      <w:r w:rsidRPr="000B0FAD">
        <w:rPr>
          <w:lang w:val="uk-UA"/>
        </w:rPr>
        <w:t>аміна роторів (робочих коліс) насосів;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4. З</w:t>
      </w:r>
      <w:r w:rsidRPr="000B0FAD">
        <w:rPr>
          <w:lang w:val="uk-UA"/>
        </w:rPr>
        <w:t>міна діаметра (обточуванням) робочого колеса насосів;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5. Р</w:t>
      </w:r>
      <w:r w:rsidRPr="000B0FAD">
        <w:rPr>
          <w:lang w:val="uk-UA"/>
        </w:rPr>
        <w:t>егулювання зміною частоти обертання валу насоса,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6. Дро</w:t>
      </w:r>
      <w:r w:rsidRPr="000B0FAD">
        <w:rPr>
          <w:lang w:val="uk-UA"/>
        </w:rPr>
        <w:t>с</w:t>
      </w:r>
      <w:r>
        <w:rPr>
          <w:lang w:val="uk-UA"/>
        </w:rPr>
        <w:t>елювання</w:t>
      </w:r>
      <w:r w:rsidRPr="000B0FAD">
        <w:rPr>
          <w:lang w:val="uk-UA"/>
        </w:rPr>
        <w:t>,</w:t>
      </w:r>
    </w:p>
    <w:p w:rsidR="00CF1549" w:rsidRPr="000B0FAD" w:rsidRDefault="00CF1549" w:rsidP="00CF1549">
      <w:pPr>
        <w:ind w:firstLine="720"/>
        <w:rPr>
          <w:lang w:val="uk-UA"/>
        </w:rPr>
      </w:pPr>
      <w:r>
        <w:rPr>
          <w:lang w:val="uk-UA"/>
        </w:rPr>
        <w:t>7.</w:t>
      </w:r>
      <w:r w:rsidRPr="000B0FAD">
        <w:rPr>
          <w:lang w:val="uk-UA"/>
        </w:rPr>
        <w:t xml:space="preserve"> </w:t>
      </w:r>
      <w:r>
        <w:rPr>
          <w:lang w:val="uk-UA"/>
        </w:rPr>
        <w:t>П</w:t>
      </w:r>
      <w:r w:rsidRPr="000B0FAD">
        <w:rPr>
          <w:lang w:val="uk-UA"/>
        </w:rPr>
        <w:t>ерепуск частини рідини у всмоктувальну лінію (</w:t>
      </w:r>
      <w:proofErr w:type="spellStart"/>
      <w:r w:rsidRPr="000B0FAD">
        <w:rPr>
          <w:lang w:val="uk-UA"/>
        </w:rPr>
        <w:t>байпас</w:t>
      </w:r>
      <w:r>
        <w:rPr>
          <w:lang w:val="uk-UA"/>
        </w:rPr>
        <w:t>ування</w:t>
      </w:r>
      <w:proofErr w:type="spellEnd"/>
      <w:r w:rsidRPr="000B0FAD">
        <w:rPr>
          <w:lang w:val="uk-UA"/>
        </w:rPr>
        <w:t>),</w:t>
      </w:r>
    </w:p>
    <w:p w:rsidR="00CF1549" w:rsidRDefault="00CF1549" w:rsidP="00CF1549">
      <w:pPr>
        <w:ind w:firstLine="720"/>
        <w:rPr>
          <w:lang w:val="uk-UA"/>
        </w:rPr>
      </w:pPr>
      <w:r>
        <w:rPr>
          <w:lang w:val="uk-UA"/>
        </w:rPr>
        <w:t xml:space="preserve">Регулювання в режимі реального часу (без виводу в плановий ремонт насосів) можливо за усіма методами окрім третього та четвертого. З огляду на ефективність споживання електричної енергії насосами НПС  дроселювання та </w:t>
      </w:r>
      <w:proofErr w:type="spellStart"/>
      <w:r>
        <w:rPr>
          <w:lang w:val="uk-UA"/>
        </w:rPr>
        <w:t>байпасування</w:t>
      </w:r>
      <w:proofErr w:type="spellEnd"/>
      <w:r>
        <w:rPr>
          <w:lang w:val="uk-UA"/>
        </w:rPr>
        <w:t xml:space="preserve"> є нераціональним так як в першому вип</w:t>
      </w:r>
      <w:r>
        <w:rPr>
          <w:lang w:val="uk-UA"/>
        </w:rPr>
        <w:t>а</w:t>
      </w:r>
      <w:r>
        <w:rPr>
          <w:lang w:val="uk-UA"/>
        </w:rPr>
        <w:t>дку при значному споживанні електричної енергії обсяг перекачування нафти є малим, а у др</w:t>
      </w:r>
      <w:r>
        <w:rPr>
          <w:lang w:val="uk-UA"/>
        </w:rPr>
        <w:t>у</w:t>
      </w:r>
      <w:r>
        <w:rPr>
          <w:lang w:val="uk-UA"/>
        </w:rPr>
        <w:t>гому випадку присутнє значне непродуктивне перекачування нафти. Тому раціонально викори</w:t>
      </w:r>
      <w:r>
        <w:rPr>
          <w:lang w:val="uk-UA"/>
        </w:rPr>
        <w:t>с</w:t>
      </w:r>
      <w:r>
        <w:rPr>
          <w:lang w:val="uk-UA"/>
        </w:rPr>
        <w:t>товувати перший другий та п’ятий методи регулювання.</w:t>
      </w:r>
    </w:p>
    <w:p w:rsidR="00CF1549" w:rsidRDefault="00CF1549" w:rsidP="00CF1549">
      <w:pPr>
        <w:ind w:firstLine="720"/>
        <w:rPr>
          <w:lang w:val="uk-UA"/>
        </w:rPr>
      </w:pPr>
      <w:r>
        <w:rPr>
          <w:lang w:val="uk-UA"/>
        </w:rPr>
        <w:t>Система МНП є складним технологічним об’єктом, який потребує ефективного регул</w:t>
      </w:r>
      <w:r>
        <w:rPr>
          <w:lang w:val="uk-UA"/>
        </w:rPr>
        <w:t>ю</w:t>
      </w:r>
      <w:r>
        <w:rPr>
          <w:lang w:val="uk-UA"/>
        </w:rPr>
        <w:t>вання з метою забезпечення дотримання заданих режимів роботи. При цьому окрім таких вимог до системи його управління як надійність, адекватність, універсальність, швидкодія та ін. акту</w:t>
      </w:r>
      <w:r>
        <w:rPr>
          <w:lang w:val="uk-UA"/>
        </w:rPr>
        <w:t>а</w:t>
      </w:r>
      <w:r>
        <w:rPr>
          <w:lang w:val="uk-UA"/>
        </w:rPr>
        <w:t>льно стоїть питання забезпечення енергетичної ефективності технологічного процесу транспо</w:t>
      </w:r>
      <w:r>
        <w:rPr>
          <w:lang w:val="uk-UA"/>
        </w:rPr>
        <w:t>р</w:t>
      </w:r>
      <w:r>
        <w:rPr>
          <w:lang w:val="uk-UA"/>
        </w:rPr>
        <w:t>тування нафти.</w:t>
      </w:r>
    </w:p>
    <w:p w:rsidR="00CF1549" w:rsidRDefault="00CF1549" w:rsidP="00CF1549">
      <w:pPr>
        <w:ind w:firstLine="720"/>
        <w:rPr>
          <w:lang w:val="uk-UA"/>
        </w:rPr>
      </w:pPr>
      <w:r>
        <w:rPr>
          <w:lang w:val="uk-UA"/>
        </w:rPr>
        <w:t xml:space="preserve">Значні резерви по енергозбереженню в  галузі транспортування нафти є в частині </w:t>
      </w:r>
      <w:proofErr w:type="spellStart"/>
      <w:r>
        <w:rPr>
          <w:lang w:val="uk-UA"/>
        </w:rPr>
        <w:t>енерг</w:t>
      </w:r>
      <w:r>
        <w:rPr>
          <w:lang w:val="uk-UA"/>
        </w:rPr>
        <w:t>о</w:t>
      </w:r>
      <w:r>
        <w:rPr>
          <w:lang w:val="uk-UA"/>
        </w:rPr>
        <w:t>ефективного</w:t>
      </w:r>
      <w:proofErr w:type="spellEnd"/>
      <w:r>
        <w:rPr>
          <w:lang w:val="uk-UA"/>
        </w:rPr>
        <w:t xml:space="preserve"> управління як окремими елементами МНП так і загальною системою в цілому. </w:t>
      </w:r>
    </w:p>
    <w:p w:rsidR="00CF1549" w:rsidRDefault="00CF1549" w:rsidP="00CF1549">
      <w:pPr>
        <w:ind w:firstLine="720"/>
        <w:rPr>
          <w:lang w:val="uk-UA"/>
        </w:rPr>
      </w:pPr>
      <w:r>
        <w:rPr>
          <w:lang w:val="uk-UA"/>
        </w:rPr>
        <w:t xml:space="preserve">На основі загального принципу </w:t>
      </w:r>
      <w:proofErr w:type="spellStart"/>
      <w:r>
        <w:rPr>
          <w:lang w:val="uk-UA"/>
        </w:rPr>
        <w:t>енергоефективного</w:t>
      </w:r>
      <w:proofErr w:type="spellEnd"/>
      <w:r>
        <w:rPr>
          <w:lang w:val="uk-UA"/>
        </w:rPr>
        <w:t xml:space="preserve"> управління нагнітачами НПС, узагал</w:t>
      </w:r>
      <w:r>
        <w:rPr>
          <w:lang w:val="uk-UA"/>
        </w:rPr>
        <w:t>ь</w:t>
      </w:r>
      <w:r>
        <w:rPr>
          <w:lang w:val="uk-UA"/>
        </w:rPr>
        <w:t>нена векторна структурна схема якого представлена на рис. 1 пропонується здійснювати упра</w:t>
      </w:r>
      <w:r>
        <w:rPr>
          <w:lang w:val="uk-UA"/>
        </w:rPr>
        <w:t>в</w:t>
      </w:r>
      <w:r>
        <w:rPr>
          <w:lang w:val="uk-UA"/>
        </w:rPr>
        <w:t>ління за функцією мінімуму втрат споживаної енергії</w:t>
      </w:r>
    </w:p>
    <w:p w:rsidR="00CF1549" w:rsidRDefault="00CF1549" w:rsidP="00CF1549">
      <w:pPr>
        <w:ind w:firstLine="720"/>
        <w:rPr>
          <w:lang w:val="uk-UA"/>
        </w:rPr>
      </w:pPr>
    </w:p>
    <w:p w:rsidR="00CF1549" w:rsidRDefault="00CF1549" w:rsidP="00CF1549">
      <w:pPr>
        <w:ind w:firstLine="720"/>
        <w:jc w:val="center"/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7pt;margin-top:52.2pt;width:81pt;height:36pt;z-index:251660288" stroked="f">
            <v:textbox>
              <w:txbxContent>
                <w:p w:rsidR="00CF1549" w:rsidRDefault="00CF1549" w:rsidP="00CF1549">
                  <w:pPr>
                    <w:jc w:val="center"/>
                    <w:rPr>
                      <w:lang w:val="uk-UA"/>
                    </w:rPr>
                  </w:pPr>
                </w:p>
                <w:p w:rsidR="00CF1549" w:rsidRDefault="00CF1549" w:rsidP="00CF154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НАГНІТАЧ</w:t>
                  </w:r>
                </w:p>
                <w:p w:rsidR="00CF1549" w:rsidRPr="00271624" w:rsidRDefault="00CF1549" w:rsidP="00CF154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162pt;margin-top:61.8pt;width:18pt;height:9pt;z-index:251661312" strokecolor="white" strokeweight="2pt"/>
        </w:pict>
      </w:r>
      <w:r>
        <w:rPr>
          <w:noProof/>
          <w:lang w:val="uk-UA" w:eastAsia="uk-UA"/>
        </w:rPr>
        <w:drawing>
          <wp:inline distT="0" distB="0" distL="0" distR="0">
            <wp:extent cx="4000500" cy="2167255"/>
            <wp:effectExtent l="19050" t="0" r="0" b="0"/>
            <wp:docPr id="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50" t="36336" r="24167" b="2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9" w:rsidRDefault="00CF1549" w:rsidP="00CF1549">
      <w:pPr>
        <w:ind w:firstLine="720"/>
        <w:rPr>
          <w:lang w:val="uk-UA"/>
        </w:rPr>
      </w:pPr>
    </w:p>
    <w:p w:rsidR="00CF1549" w:rsidRDefault="00CF1549" w:rsidP="00CF1549">
      <w:pPr>
        <w:jc w:val="center"/>
        <w:rPr>
          <w:lang w:val="uk-UA"/>
        </w:rPr>
      </w:pPr>
      <w:r>
        <w:rPr>
          <w:lang w:val="uk-UA"/>
        </w:rPr>
        <w:t>Рис. 1</w:t>
      </w:r>
      <w:r>
        <w:rPr>
          <w:lang w:val="uk-UA"/>
        </w:rPr>
        <w:tab/>
        <w:t xml:space="preserve">Узагальнена векторна структурна схема принципу </w:t>
      </w:r>
    </w:p>
    <w:p w:rsidR="00CF1549" w:rsidRDefault="00CF1549" w:rsidP="00CF1549">
      <w:pPr>
        <w:jc w:val="center"/>
        <w:rPr>
          <w:lang w:val="uk-UA"/>
        </w:rPr>
      </w:pPr>
      <w:proofErr w:type="spellStart"/>
      <w:r>
        <w:rPr>
          <w:lang w:val="uk-UA"/>
        </w:rPr>
        <w:t>енергоефективного</w:t>
      </w:r>
      <w:proofErr w:type="spellEnd"/>
      <w:r>
        <w:rPr>
          <w:lang w:val="uk-UA"/>
        </w:rPr>
        <w:t xml:space="preserve"> управління нагнітачем</w:t>
      </w:r>
    </w:p>
    <w:p w:rsidR="00CF1549" w:rsidRDefault="00CF1549" w:rsidP="00CF1549">
      <w:pPr>
        <w:jc w:val="center"/>
        <w:rPr>
          <w:lang w:val="uk-UA"/>
        </w:rPr>
      </w:pPr>
    </w:p>
    <w:p w:rsidR="00CF1549" w:rsidRDefault="00CF1549" w:rsidP="00CF1549">
      <w:pPr>
        <w:ind w:firstLine="705"/>
        <w:rPr>
          <w:lang w:val="uk-UA"/>
        </w:rPr>
      </w:pPr>
      <w:r>
        <w:rPr>
          <w:lang w:val="uk-UA"/>
        </w:rPr>
        <w:t>На підставі даного принципу розроблені математичні моделі управління нагнітачем, вив</w:t>
      </w:r>
      <w:r>
        <w:rPr>
          <w:lang w:val="uk-UA"/>
        </w:rPr>
        <w:t>е</w:t>
      </w:r>
      <w:r>
        <w:rPr>
          <w:lang w:val="uk-UA"/>
        </w:rPr>
        <w:t>дена функція втрат та відповідна функція управляючого впливу, які мають наступний вигляд:</w:t>
      </w:r>
    </w:p>
    <w:p w:rsidR="00CF1549" w:rsidRDefault="00CF1549" w:rsidP="00CF1549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математична модель управління нагнітачем</w:t>
      </w:r>
    </w:p>
    <w:p w:rsidR="00CF1549" w:rsidRDefault="00CF1549" w:rsidP="00CF1549">
      <w:pPr>
        <w:ind w:left="705"/>
        <w:rPr>
          <w:lang w:val="uk-UA"/>
        </w:rPr>
      </w:pPr>
    </w:p>
    <w:p w:rsidR="00CF1549" w:rsidRDefault="00CF1549" w:rsidP="00CF154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124835" cy="542290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9" w:rsidRDefault="00CF1549" w:rsidP="00CF1549">
      <w:pPr>
        <w:jc w:val="center"/>
        <w:rPr>
          <w:lang w:val="uk-UA"/>
        </w:rPr>
      </w:pPr>
    </w:p>
    <w:p w:rsidR="00CF1549" w:rsidRDefault="00CF1549" w:rsidP="00CF1549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функція втрат енергії</w:t>
      </w:r>
    </w:p>
    <w:p w:rsidR="00CF1549" w:rsidRDefault="00CF1549" w:rsidP="00CF1549">
      <w:pPr>
        <w:ind w:left="705"/>
        <w:rPr>
          <w:lang w:val="uk-UA"/>
        </w:rPr>
      </w:pPr>
    </w:p>
    <w:p w:rsidR="00CF1549" w:rsidRDefault="00CF1549" w:rsidP="00CF154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76450" cy="24701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49" w:rsidRDefault="00CF1549" w:rsidP="00CF1549">
      <w:pPr>
        <w:jc w:val="center"/>
        <w:rPr>
          <w:lang w:val="uk-UA"/>
        </w:rPr>
      </w:pPr>
    </w:p>
    <w:p w:rsidR="00CF1549" w:rsidRDefault="00CF1549" w:rsidP="00CF1549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функція управляючого впливу</w:t>
      </w:r>
    </w:p>
    <w:p w:rsidR="00CF1549" w:rsidRDefault="00CF1549" w:rsidP="00CF1549">
      <w:pPr>
        <w:ind w:left="705"/>
        <w:rPr>
          <w:lang w:val="uk-UA"/>
        </w:rPr>
      </w:pPr>
    </w:p>
    <w:p w:rsidR="00CF1549" w:rsidRDefault="00CF1549" w:rsidP="00CF1549">
      <w:pPr>
        <w:ind w:left="705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03450" cy="266065"/>
            <wp:effectExtent l="19050" t="0" r="635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.</w:t>
      </w:r>
    </w:p>
    <w:p w:rsidR="00CF1549" w:rsidRDefault="00CF1549" w:rsidP="00CF1549">
      <w:pPr>
        <w:ind w:firstLine="705"/>
        <w:rPr>
          <w:lang w:val="uk-UA"/>
        </w:rPr>
      </w:pPr>
    </w:p>
    <w:p w:rsidR="00D15BB4" w:rsidRPr="0068018F" w:rsidRDefault="00CF1549" w:rsidP="00CF1549">
      <w:pPr>
        <w:ind w:firstLine="705"/>
        <w:rPr>
          <w:lang w:val="uk-UA"/>
        </w:rPr>
      </w:pPr>
      <w:r>
        <w:rPr>
          <w:lang w:val="uk-UA"/>
        </w:rPr>
        <w:t>Система управління технологічним процесом транспортування нафти, яка налаштована на функцію мінімуму втрат спожитої електричної енергії дозволить використати можливі резерви заощадження енергоносіїв, а відповідно дасть значний економічний ефект.</w:t>
      </w:r>
    </w:p>
    <w:sectPr w:rsidR="00D15BB4" w:rsidRPr="0068018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2BA"/>
    <w:multiLevelType w:val="hybridMultilevel"/>
    <w:tmpl w:val="7180D09C"/>
    <w:lvl w:ilvl="0" w:tplc="F190E2E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6CC65A6"/>
    <w:multiLevelType w:val="hybridMultilevel"/>
    <w:tmpl w:val="F104D3FC"/>
    <w:lvl w:ilvl="0" w:tplc="F302580A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18F"/>
    <w:rsid w:val="0007502A"/>
    <w:rsid w:val="00164619"/>
    <w:rsid w:val="00280B6F"/>
    <w:rsid w:val="00453984"/>
    <w:rsid w:val="0068018F"/>
    <w:rsid w:val="00BF7752"/>
    <w:rsid w:val="00CF1549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018F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8F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2302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2017-10-25T07:40:00Z</dcterms:created>
  <dcterms:modified xsi:type="dcterms:W3CDTF">2017-10-25T07:44:00Z</dcterms:modified>
</cp:coreProperties>
</file>