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263" w:rsidRPr="0003061B" w:rsidRDefault="00722263" w:rsidP="00722263">
      <w:pPr>
        <w:pStyle w:val="2"/>
        <w:rPr>
          <w:lang w:val="uk-UA"/>
        </w:rPr>
      </w:pPr>
      <w:bookmarkStart w:id="0" w:name="_Toc483490330"/>
      <w:proofErr w:type="spellStart"/>
      <w:r w:rsidRPr="00AE128A">
        <w:rPr>
          <w:lang w:val="uk-UA"/>
        </w:rPr>
        <w:t>Рибальченко</w:t>
      </w:r>
      <w:proofErr w:type="spellEnd"/>
      <w:r>
        <w:rPr>
          <w:lang w:val="uk-UA"/>
        </w:rPr>
        <w:t> </w:t>
      </w:r>
      <w:r w:rsidRPr="00AE128A">
        <w:rPr>
          <w:lang w:val="uk-UA"/>
        </w:rPr>
        <w:t>О.</w:t>
      </w:r>
      <w:r>
        <w:rPr>
          <w:lang w:val="uk-UA"/>
        </w:rPr>
        <w:t> </w:t>
      </w:r>
      <w:r w:rsidRPr="00AE128A">
        <w:rPr>
          <w:lang w:val="uk-UA"/>
        </w:rPr>
        <w:t>М.</w:t>
      </w:r>
      <w:r>
        <w:rPr>
          <w:lang w:val="uk-UA"/>
        </w:rPr>
        <w:br/>
      </w:r>
      <w:r w:rsidRPr="00722263">
        <w:rPr>
          <w:sz w:val="24"/>
          <w:szCs w:val="24"/>
          <w:lang w:val="uk-UA"/>
        </w:rPr>
        <w:t>НАУКОВА ДІЯЛЬНІСТЬ НБ УІПА: СУЧАСНІ ВИМОГИ, ПРІОРИТЕТИ, ТЕНДЕНЦІЇ РОЗВИТКУ</w:t>
      </w:r>
      <w:bookmarkEnd w:id="0"/>
      <w:r w:rsidRPr="0003061B">
        <w:rPr>
          <w:lang w:val="uk-UA"/>
        </w:rPr>
        <w:t xml:space="preserve"> 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 xml:space="preserve">Науковий аспект діяльності бібліотеки розвивався з самого початку її створення якщо не позначаючи вид бібліотеки, то вже точно характеризуючи  суть її діяльності. УІПА (УЗПІ, ХІП) в усі часи розглядалася як наукова установа, де відбувався процес не тільки навчання, а й створення нових знань, і відповідно до цього розвивався науковий аспект діяльності бібліотеки: </w:t>
      </w:r>
      <w:proofErr w:type="spellStart"/>
      <w:r w:rsidRPr="00722263">
        <w:rPr>
          <w:sz w:val="26"/>
          <w:szCs w:val="26"/>
          <w:lang w:val="uk-UA"/>
        </w:rPr>
        <w:t>науковообґрунтоване</w:t>
      </w:r>
      <w:proofErr w:type="spellEnd"/>
      <w:r w:rsidRPr="00722263">
        <w:rPr>
          <w:sz w:val="26"/>
          <w:szCs w:val="26"/>
          <w:lang w:val="uk-UA"/>
        </w:rPr>
        <w:t xml:space="preserve"> комплектування, вдосконалення систематичної розстановки фонду, вичерпне повноцінне розкриття фондів за допомогою аналітичної обробки і створення каталогів картотек, видань наукової бібліографії тощо.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Свою місію НБ завжди бачила в підтримці навчального процесу і наукової роботи в академії шляхом створення необхідних умов доступу до інформації, підвищення інформаційної культури користувача, сприяння розвитку інтелектуального потенціалу академії. Активізація наукової  роботи бібліотеки уможливила внести зміну у назву бібліотеки і з  2010 року за рішенням Вченої ради УІПА бібліотека має назву Наукова бібліотека.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 xml:space="preserve">Наукова робота бібліотеки реалізується шляхом: 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співучасті у проведенні науково-дослідних робіт «</w:t>
      </w:r>
      <w:r w:rsidRPr="00722263">
        <w:rPr>
          <w:bCs/>
          <w:sz w:val="26"/>
          <w:szCs w:val="26"/>
          <w:lang w:val="uk-UA"/>
        </w:rPr>
        <w:t xml:space="preserve">Створення та використання ресурсів електронної мережевої бібліотеки ЕТФ УІПА у системі самостійного навчання та тестового контролю знань студентів із загальнонаукових та фахових дисциплін (2008-2010 </w:t>
      </w:r>
      <w:proofErr w:type="spellStart"/>
      <w:r w:rsidRPr="00722263">
        <w:rPr>
          <w:bCs/>
          <w:sz w:val="26"/>
          <w:szCs w:val="26"/>
          <w:lang w:val="uk-UA"/>
        </w:rPr>
        <w:t>р.р</w:t>
      </w:r>
      <w:proofErr w:type="spellEnd"/>
      <w:r w:rsidRPr="00722263">
        <w:rPr>
          <w:bCs/>
          <w:sz w:val="26"/>
          <w:szCs w:val="26"/>
          <w:lang w:val="uk-UA"/>
        </w:rPr>
        <w:t>.)</w:t>
      </w:r>
      <w:r w:rsidRPr="00722263">
        <w:rPr>
          <w:sz w:val="26"/>
          <w:szCs w:val="26"/>
          <w:lang w:val="uk-UA"/>
        </w:rPr>
        <w:t>, «</w:t>
      </w:r>
      <w:r w:rsidRPr="00722263">
        <w:rPr>
          <w:bCs/>
          <w:sz w:val="26"/>
          <w:szCs w:val="26"/>
          <w:lang w:val="uk-UA"/>
        </w:rPr>
        <w:t xml:space="preserve">Системна організація інформаційно-бібліографічного забезпечення розвитку інженерно-педагогічної освіти» (2012-2014 </w:t>
      </w:r>
      <w:proofErr w:type="spellStart"/>
      <w:r w:rsidRPr="00722263">
        <w:rPr>
          <w:bCs/>
          <w:sz w:val="26"/>
          <w:szCs w:val="26"/>
          <w:lang w:val="uk-UA"/>
        </w:rPr>
        <w:t>р.р</w:t>
      </w:r>
      <w:proofErr w:type="spellEnd"/>
      <w:r w:rsidRPr="00722263">
        <w:rPr>
          <w:bCs/>
          <w:sz w:val="26"/>
          <w:szCs w:val="26"/>
          <w:lang w:val="uk-UA"/>
        </w:rPr>
        <w:t>.)</w:t>
      </w:r>
      <w:r w:rsidRPr="00722263">
        <w:rPr>
          <w:sz w:val="26"/>
          <w:szCs w:val="26"/>
          <w:lang w:val="uk-UA"/>
        </w:rPr>
        <w:t xml:space="preserve">; 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участі бібліотеки окремою секцією «Сучасні інформаційно-бібліотечні технології» у роботі щорічної науково-практичної конференції академії;</w:t>
      </w:r>
      <w:r w:rsidRPr="00722263">
        <w:rPr>
          <w:rFonts w:eastAsia="+mn-ea"/>
          <w:bCs/>
          <w:color w:val="224B50"/>
          <w:kern w:val="24"/>
          <w:sz w:val="26"/>
          <w:szCs w:val="26"/>
          <w:lang w:val="uk-UA"/>
        </w:rPr>
        <w:t xml:space="preserve"> 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організації і проведення науково-практичних міжвузівських конференцій і семінарів для бібліотечних фахівців міста (з 1969 року   проведено</w:t>
      </w:r>
      <w:r w:rsidRPr="00722263">
        <w:rPr>
          <w:color w:val="FF0000"/>
          <w:sz w:val="26"/>
          <w:szCs w:val="26"/>
          <w:lang w:val="uk-UA"/>
        </w:rPr>
        <w:t xml:space="preserve"> </w:t>
      </w:r>
      <w:r w:rsidRPr="00722263">
        <w:rPr>
          <w:sz w:val="26"/>
          <w:szCs w:val="26"/>
          <w:lang w:val="uk-UA"/>
        </w:rPr>
        <w:t>18 заходів);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участі у роботі міжнародних конференцій, семінарів, які проводяться іншими бібліотеками і установами (</w:t>
      </w:r>
      <w:r w:rsidRPr="00722263">
        <w:rPr>
          <w:bCs/>
          <w:sz w:val="26"/>
          <w:szCs w:val="26"/>
          <w:lang w:val="uk-UA"/>
        </w:rPr>
        <w:t>прийнято участь у роботі понад 100 міжнародних, всеукраїнських  і регіональних науково-практичних конференціях і семінарах</w:t>
      </w:r>
      <w:r w:rsidRPr="00722263">
        <w:rPr>
          <w:sz w:val="26"/>
          <w:szCs w:val="26"/>
          <w:lang w:val="uk-UA"/>
        </w:rPr>
        <w:t xml:space="preserve">) , 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 xml:space="preserve">складання науково-бібліографічної та </w:t>
      </w:r>
      <w:proofErr w:type="spellStart"/>
      <w:r w:rsidRPr="00722263">
        <w:rPr>
          <w:sz w:val="26"/>
          <w:szCs w:val="26"/>
          <w:lang w:val="uk-UA"/>
        </w:rPr>
        <w:t>біобібліографічної</w:t>
      </w:r>
      <w:proofErr w:type="spellEnd"/>
      <w:r w:rsidRPr="00722263">
        <w:rPr>
          <w:sz w:val="26"/>
          <w:szCs w:val="26"/>
          <w:lang w:val="uk-UA"/>
        </w:rPr>
        <w:t xml:space="preserve"> продукції (в серії бібліографічних покажчиків «Праці кафедр УІПА» вийшло 11 видань, в серії «Вчені УІПА - ювіляри» - 19 видань; науково-допоміжні покажчики «Проблеми освіти» (14 випусків), «</w:t>
      </w:r>
      <w:proofErr w:type="spellStart"/>
      <w:r w:rsidRPr="00722263">
        <w:rPr>
          <w:sz w:val="26"/>
          <w:szCs w:val="26"/>
          <w:lang w:val="uk-UA"/>
        </w:rPr>
        <w:t>Інноваціїї</w:t>
      </w:r>
      <w:proofErr w:type="spellEnd"/>
      <w:r w:rsidRPr="00722263">
        <w:rPr>
          <w:sz w:val="26"/>
          <w:szCs w:val="26"/>
          <w:lang w:val="uk-UA"/>
        </w:rPr>
        <w:t xml:space="preserve"> в освіті» - 7 випусків);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оприлюднення досвіду роботи у вигляді статей в офіційних виданнях, доповідей та тез доповідей співробітників бібліотеки, опублікованих в  матеріалах науково-практичних конференцій та семінарів (з</w:t>
      </w:r>
      <w:r w:rsidRPr="00722263">
        <w:rPr>
          <w:bCs/>
          <w:sz w:val="26"/>
          <w:szCs w:val="26"/>
          <w:lang w:val="uk-UA"/>
        </w:rPr>
        <w:t xml:space="preserve"> 2010 по 2017 рік опубліковано 19 статей та 49 тез доповідей, проголошено  55 доповідей</w:t>
      </w:r>
      <w:r w:rsidRPr="00722263">
        <w:rPr>
          <w:sz w:val="26"/>
          <w:szCs w:val="26"/>
          <w:lang w:val="uk-UA"/>
        </w:rPr>
        <w:t xml:space="preserve">) ; 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участі у корпоративних проектах;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bCs/>
          <w:sz w:val="26"/>
          <w:szCs w:val="26"/>
          <w:lang w:val="uk-UA"/>
        </w:rPr>
      </w:pPr>
      <w:r w:rsidRPr="00722263">
        <w:rPr>
          <w:bCs/>
          <w:sz w:val="26"/>
          <w:szCs w:val="26"/>
          <w:lang w:val="uk-UA"/>
        </w:rPr>
        <w:t>удосконалення партнерських зв’язків з редакціями збірників наукових праць «Проблеми інженерно-педагогічної освіти», «Машинобудування»;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>створення читального залу для науковців з фондом дисертацій, авторефератів дисертацій; звітів НДР, реферативних видань тощо.</w:t>
      </w:r>
    </w:p>
    <w:p w:rsidR="00722263" w:rsidRPr="00722263" w:rsidRDefault="00722263" w:rsidP="00722263">
      <w:pPr>
        <w:spacing w:line="228" w:lineRule="auto"/>
        <w:ind w:firstLine="709"/>
        <w:jc w:val="both"/>
        <w:rPr>
          <w:sz w:val="26"/>
          <w:szCs w:val="26"/>
          <w:lang w:val="uk-UA"/>
        </w:rPr>
      </w:pPr>
      <w:r w:rsidRPr="00722263">
        <w:rPr>
          <w:sz w:val="26"/>
          <w:szCs w:val="26"/>
          <w:lang w:val="uk-UA"/>
        </w:rPr>
        <w:t xml:space="preserve">створення і постійного поповнення інформаційних ресурсів на підтримку наукової діяльності академії (Електронного архіву </w:t>
      </w:r>
      <w:proofErr w:type="spellStart"/>
      <w:r w:rsidRPr="00722263">
        <w:rPr>
          <w:sz w:val="26"/>
          <w:szCs w:val="26"/>
          <w:lang w:val="uk-UA"/>
        </w:rPr>
        <w:t>ElAr</w:t>
      </w:r>
      <w:proofErr w:type="spellEnd"/>
      <w:r w:rsidRPr="00722263">
        <w:rPr>
          <w:sz w:val="26"/>
          <w:szCs w:val="26"/>
          <w:lang w:val="uk-UA"/>
        </w:rPr>
        <w:t xml:space="preserve"> UIPA, повнотекстових БД «Автореферати дисертацій, що захищені співробітниками УІПА» «Монографії вчених» (216 авторефератів, 58 монографій), бібліографічної БД «Авторських </w:t>
      </w:r>
      <w:proofErr w:type="spellStart"/>
      <w:r w:rsidRPr="00722263">
        <w:rPr>
          <w:sz w:val="26"/>
          <w:szCs w:val="26"/>
          <w:lang w:val="uk-UA"/>
        </w:rPr>
        <w:t>свiдоцтв</w:t>
      </w:r>
      <w:proofErr w:type="spellEnd"/>
      <w:r w:rsidRPr="00722263">
        <w:rPr>
          <w:sz w:val="26"/>
          <w:szCs w:val="26"/>
          <w:lang w:val="uk-UA"/>
        </w:rPr>
        <w:t xml:space="preserve">, </w:t>
      </w:r>
      <w:proofErr w:type="spellStart"/>
      <w:r w:rsidRPr="00722263">
        <w:rPr>
          <w:sz w:val="26"/>
          <w:szCs w:val="26"/>
          <w:lang w:val="uk-UA"/>
        </w:rPr>
        <w:t>патентiв</w:t>
      </w:r>
      <w:proofErr w:type="spellEnd"/>
      <w:r w:rsidRPr="00722263">
        <w:rPr>
          <w:sz w:val="26"/>
          <w:szCs w:val="26"/>
          <w:lang w:val="uk-UA"/>
        </w:rPr>
        <w:t xml:space="preserve"> та </w:t>
      </w:r>
      <w:proofErr w:type="spellStart"/>
      <w:r w:rsidRPr="00722263">
        <w:rPr>
          <w:sz w:val="26"/>
          <w:szCs w:val="26"/>
          <w:lang w:val="uk-UA"/>
        </w:rPr>
        <w:t>iнших</w:t>
      </w:r>
      <w:proofErr w:type="spellEnd"/>
      <w:r w:rsidRPr="00722263">
        <w:rPr>
          <w:sz w:val="26"/>
          <w:szCs w:val="26"/>
          <w:lang w:val="uk-UA"/>
        </w:rPr>
        <w:t xml:space="preserve"> охоронних документів УІПА»(1201 запис) тощо. </w:t>
      </w:r>
    </w:p>
    <w:p w:rsidR="00D15BB4" w:rsidRPr="00722263" w:rsidRDefault="00D15BB4">
      <w:pPr>
        <w:rPr>
          <w:lang w:val="uk-UA"/>
        </w:rPr>
      </w:pPr>
    </w:p>
    <w:sectPr w:rsidR="00D15BB4" w:rsidRPr="00722263" w:rsidSect="00722263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2263"/>
    <w:rsid w:val="0007502A"/>
    <w:rsid w:val="000A1AD1"/>
    <w:rsid w:val="00164619"/>
    <w:rsid w:val="00453984"/>
    <w:rsid w:val="00722263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722263"/>
    <w:pPr>
      <w:keepNext/>
      <w:ind w:left="709"/>
      <w:jc w:val="both"/>
      <w:outlineLvl w:val="1"/>
    </w:pPr>
    <w:rPr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2263"/>
    <w:rPr>
      <w:rFonts w:ascii="Times New Roman" w:eastAsia="Times New Roman" w:hAnsi="Times New Roman" w:cs="Times New Roman"/>
      <w:b/>
      <w:bCs/>
      <w:iCs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2086</Words>
  <Characters>1190</Characters>
  <Application>Microsoft Office Word</Application>
  <DocSecurity>0</DocSecurity>
  <Lines>9</Lines>
  <Paragraphs>6</Paragraphs>
  <ScaleCrop>false</ScaleCrop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2017-10-13T06:53:00Z</dcterms:created>
  <dcterms:modified xsi:type="dcterms:W3CDTF">2017-10-13T06:54:00Z</dcterms:modified>
</cp:coreProperties>
</file>