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00" w:rsidRPr="00B04540" w:rsidRDefault="009B1100" w:rsidP="009B1100">
      <w:pPr>
        <w:ind w:firstLine="709"/>
        <w:rPr>
          <w:b/>
          <w:spacing w:val="-2"/>
          <w:sz w:val="28"/>
          <w:szCs w:val="28"/>
          <w:lang w:val="uk-UA"/>
        </w:rPr>
      </w:pPr>
      <w:proofErr w:type="spellStart"/>
      <w:r w:rsidRPr="00B04540">
        <w:rPr>
          <w:b/>
          <w:spacing w:val="-2"/>
          <w:sz w:val="28"/>
          <w:szCs w:val="28"/>
          <w:lang w:val="uk-UA"/>
        </w:rPr>
        <w:t>Ісьєміні</w:t>
      </w:r>
      <w:proofErr w:type="spellEnd"/>
      <w:r w:rsidRPr="00B04540">
        <w:rPr>
          <w:b/>
          <w:spacing w:val="-2"/>
          <w:sz w:val="28"/>
          <w:szCs w:val="28"/>
          <w:lang w:val="uk-UA"/>
        </w:rPr>
        <w:t xml:space="preserve"> І.І.</w:t>
      </w:r>
    </w:p>
    <w:p w:rsidR="009B1100" w:rsidRPr="00B04540" w:rsidRDefault="009B1100" w:rsidP="009B1100">
      <w:pPr>
        <w:ind w:firstLine="709"/>
        <w:rPr>
          <w:b/>
          <w:spacing w:val="-2"/>
          <w:sz w:val="28"/>
          <w:szCs w:val="28"/>
          <w:lang w:val="uk-UA"/>
        </w:rPr>
      </w:pPr>
      <w:r w:rsidRPr="00B04540">
        <w:rPr>
          <w:b/>
          <w:spacing w:val="-2"/>
          <w:sz w:val="28"/>
          <w:szCs w:val="28"/>
          <w:lang w:val="uk-UA"/>
        </w:rPr>
        <w:t>ВИЗНАЧЕННЯ ПАРАМЕТРІВ ПНЕВМОГІДРАВЛІЧНОГО БУФЕРА</w:t>
      </w:r>
    </w:p>
    <w:p w:rsidR="009B1100" w:rsidRPr="00B04540" w:rsidRDefault="009B1100" w:rsidP="009B110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B04540">
        <w:rPr>
          <w:spacing w:val="-2"/>
          <w:sz w:val="28"/>
          <w:szCs w:val="28"/>
          <w:lang w:val="uk-UA"/>
        </w:rPr>
        <w:t xml:space="preserve">Експлуатація мостових вантажопідіймальних кранів пов’язана з підвищеною небезпекою. Внаслідок наїзду крана на тупикові упори з підвищеною швидкістю руйнуються кранова металоконструкція та підкранові споруди, що призводить до значних фінансових витрат. Для підвищення безпеки експлуатації мостових кранів в цілому та надійності їх захисних систем зокрема, було запропоновано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пневмогідравлічний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буфер. </w:t>
      </w:r>
    </w:p>
    <w:p w:rsidR="009B1100" w:rsidRPr="00B04540" w:rsidRDefault="009B1100" w:rsidP="009B110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B04540">
        <w:rPr>
          <w:spacing w:val="-2"/>
          <w:sz w:val="28"/>
          <w:szCs w:val="28"/>
          <w:lang w:val="uk-UA"/>
        </w:rPr>
        <w:t xml:space="preserve">Зазвичай, для найбільш ефективної роботи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пневмогідравлічного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буфера 5 % кінетичної енергії крана витрачається на тертя в гідроциліндрі, а витрати на гідравлічний і пневматичний опори розподіляються як 40 % і 55 % відповідно. Якщо ж більшість кінетичної енергії крана сприймається гідравлічним опором, то характеристика роботи буфера є жорсткою, що призводить до збільшення навантаження від удару. При сприйнятті більшої частини кінетичної енергії крана пневматичним опором, характеристика роботи буфера стає більш м’якою, що призводить до збільшення гальмівного шляху крана.</w:t>
      </w:r>
    </w:p>
    <w:p w:rsidR="009B1100" w:rsidRPr="00B04540" w:rsidRDefault="009B1100" w:rsidP="009B110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B04540">
        <w:rPr>
          <w:spacing w:val="-2"/>
          <w:sz w:val="28"/>
          <w:szCs w:val="28"/>
          <w:lang w:val="uk-UA"/>
        </w:rPr>
        <w:t xml:space="preserve">Проаналізувавши значення гідравлічного та пневматичного опорів під час моделювання наїзду крана з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пневмогідравлічними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буферами на тупикові упори, було знайдено частки, які становлять значення гідравлічного та пневматичного опорів від сили наїзду крана на початку гальмування при наїзді на тупикові упори з номінальною швидкістю та дотримуванні уповільнення 4 м/с2. Наїзд на тупикові упори з вантажем і без нього моделювався з однаковими параметрами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пневмогідравлічного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буфера для крана певної маси.</w:t>
      </w:r>
    </w:p>
    <w:p w:rsidR="009B1100" w:rsidRPr="00B04540" w:rsidRDefault="009B1100" w:rsidP="009B110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B04540">
        <w:rPr>
          <w:spacing w:val="-2"/>
          <w:sz w:val="28"/>
          <w:szCs w:val="28"/>
          <w:lang w:val="uk-UA"/>
        </w:rPr>
        <w:t xml:space="preserve">Середнє значення частки гідравлічного упору від сили наїзду на початку гальмування становить 40,2 %, а пневматичного опору – 58,9 %. Отже, при розрахунках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пневмогідравлічного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буфера рекомендовано, щоб гідравлічний опір становив 40 %, а пневматичний опір – 55 % від сили наїзду на початку гальмування. Використання при розрахунках трохи менших значень, ніж ті, що були отримані при моделюванні, дозволить при експлуатації запобігти перевищенню регламентованого уповільнення.</w:t>
      </w:r>
    </w:p>
    <w:p w:rsidR="009B1100" w:rsidRDefault="009B1100" w:rsidP="009B1100">
      <w:pPr>
        <w:ind w:firstLine="709"/>
        <w:jc w:val="both"/>
        <w:rPr>
          <w:spacing w:val="-2"/>
          <w:sz w:val="28"/>
          <w:szCs w:val="28"/>
          <w:lang w:val="uk-UA"/>
        </w:rPr>
      </w:pPr>
      <w:r w:rsidRPr="00B04540">
        <w:rPr>
          <w:spacing w:val="-2"/>
          <w:sz w:val="28"/>
          <w:szCs w:val="28"/>
          <w:lang w:val="uk-UA"/>
        </w:rPr>
        <w:t xml:space="preserve">Отримане співвідношення гідравлічного та пневматичного опорів на початку гальмування крана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пневмогідравлічним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буфером дозволяє розраховувати буферний пристрій таким чином, щоб забезпечити найефективніше гальмування крана. Також рекомендується дотримуватись вищенаведених значень співвідношення пневматичного та гідравлічного опорів при експлуатації </w:t>
      </w:r>
      <w:proofErr w:type="spellStart"/>
      <w:r w:rsidRPr="00B04540">
        <w:rPr>
          <w:spacing w:val="-2"/>
          <w:sz w:val="28"/>
          <w:szCs w:val="28"/>
          <w:lang w:val="uk-UA"/>
        </w:rPr>
        <w:t>пневмогідравлічних</w:t>
      </w:r>
      <w:proofErr w:type="spellEnd"/>
      <w:r w:rsidRPr="00B04540">
        <w:rPr>
          <w:spacing w:val="-2"/>
          <w:sz w:val="28"/>
          <w:szCs w:val="28"/>
          <w:lang w:val="uk-UA"/>
        </w:rPr>
        <w:t xml:space="preserve"> буферів.</w:t>
      </w:r>
    </w:p>
    <w:p w:rsidR="009B1100" w:rsidRPr="009B1100" w:rsidRDefault="009B1100" w:rsidP="009B1100">
      <w:pPr>
        <w:ind w:firstLine="709"/>
        <w:rPr>
          <w:b/>
          <w:sz w:val="28"/>
          <w:szCs w:val="28"/>
          <w:lang w:val="uk-UA"/>
        </w:rPr>
      </w:pPr>
    </w:p>
    <w:p w:rsidR="00D15BB4" w:rsidRPr="009B1100" w:rsidRDefault="00D15BB4">
      <w:pPr>
        <w:rPr>
          <w:lang w:val="uk-UA"/>
        </w:rPr>
      </w:pPr>
    </w:p>
    <w:sectPr w:rsidR="00D15BB4" w:rsidRPr="009B110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B1100"/>
    <w:rsid w:val="0007502A"/>
    <w:rsid w:val="00164619"/>
    <w:rsid w:val="009B1100"/>
    <w:rsid w:val="00BA03C4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2016-05-17T10:45:00Z</dcterms:created>
  <dcterms:modified xsi:type="dcterms:W3CDTF">2016-05-17T10:46:00Z</dcterms:modified>
</cp:coreProperties>
</file>