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E3" w:rsidRPr="00EC4521" w:rsidRDefault="007864E3" w:rsidP="007864E3">
      <w:pPr>
        <w:spacing w:after="0" w:line="240" w:lineRule="auto"/>
        <w:jc w:val="center"/>
        <w:rPr>
          <w:rFonts w:ascii="Times New Roman" w:eastAsia="Times New Roman" w:hAnsi="Times New Roman"/>
          <w:b/>
          <w:color w:val="000000"/>
          <w:sz w:val="28"/>
          <w:szCs w:val="28"/>
          <w:lang w:val="uk-UA" w:eastAsia="ru-RU"/>
        </w:rPr>
      </w:pPr>
      <w:r w:rsidRPr="00EC4521">
        <w:rPr>
          <w:rFonts w:ascii="Times New Roman" w:eastAsia="Times New Roman" w:hAnsi="Times New Roman"/>
          <w:b/>
          <w:color w:val="000000"/>
          <w:sz w:val="28"/>
          <w:szCs w:val="28"/>
          <w:lang w:val="uk-UA" w:eastAsia="ru-RU"/>
        </w:rPr>
        <w:t>ВЗАЄМОЗАЛЕЖНІСТЬ МОТИВАЦІЙНОГО МЕХАНІЗМУ ТА ЕКОНОМІЧНОГО ПОТЕНЦІАЛУ ПІДПРИЄМСТВ</w:t>
      </w:r>
    </w:p>
    <w:p w:rsidR="007864E3" w:rsidRPr="00EC4521" w:rsidRDefault="007864E3" w:rsidP="007864E3">
      <w:pPr>
        <w:spacing w:after="0" w:line="240" w:lineRule="auto"/>
        <w:jc w:val="right"/>
        <w:rPr>
          <w:rFonts w:ascii="Times New Roman" w:eastAsia="Times New Roman" w:hAnsi="Times New Roman"/>
          <w:i/>
          <w:color w:val="000000"/>
          <w:sz w:val="28"/>
          <w:szCs w:val="28"/>
          <w:lang w:val="uk-UA" w:eastAsia="ru-RU"/>
        </w:rPr>
      </w:pPr>
      <w:r>
        <w:rPr>
          <w:rFonts w:ascii="Times New Roman" w:eastAsia="Times New Roman" w:hAnsi="Times New Roman"/>
          <w:i/>
          <w:color w:val="000000"/>
          <w:sz w:val="28"/>
          <w:szCs w:val="28"/>
          <w:lang w:val="uk-UA" w:eastAsia="ru-RU"/>
        </w:rPr>
        <w:t xml:space="preserve">Автор: </w:t>
      </w:r>
      <w:r w:rsidRPr="00EC4521">
        <w:rPr>
          <w:rFonts w:ascii="Times New Roman" w:eastAsia="Times New Roman" w:hAnsi="Times New Roman"/>
          <w:i/>
          <w:color w:val="000000"/>
          <w:sz w:val="28"/>
          <w:szCs w:val="28"/>
          <w:lang w:val="uk-UA" w:eastAsia="ru-RU"/>
        </w:rPr>
        <w:t xml:space="preserve">Шевченко К.М., </w:t>
      </w:r>
    </w:p>
    <w:p w:rsidR="007864E3" w:rsidRDefault="007864E3" w:rsidP="007864E3">
      <w:pPr>
        <w:spacing w:after="0" w:line="240" w:lineRule="auto"/>
        <w:jc w:val="right"/>
        <w:rPr>
          <w:rFonts w:ascii="Times New Roman" w:eastAsia="Times New Roman" w:hAnsi="Times New Roman"/>
          <w:i/>
          <w:color w:val="000000"/>
          <w:sz w:val="28"/>
          <w:szCs w:val="28"/>
          <w:lang w:val="uk-UA" w:eastAsia="ru-RU"/>
        </w:rPr>
      </w:pPr>
      <w:r w:rsidRPr="00EC4521">
        <w:rPr>
          <w:rFonts w:ascii="Times New Roman" w:eastAsia="Times New Roman" w:hAnsi="Times New Roman"/>
          <w:i/>
          <w:color w:val="000000"/>
          <w:sz w:val="28"/>
          <w:szCs w:val="28"/>
          <w:lang w:val="uk-UA" w:eastAsia="ru-RU"/>
        </w:rPr>
        <w:t>старший викладач кафедри ЕПМ ННППІ УІПА</w:t>
      </w:r>
    </w:p>
    <w:p w:rsidR="007864E3" w:rsidRPr="00EC4521" w:rsidRDefault="007864E3" w:rsidP="007864E3">
      <w:pPr>
        <w:spacing w:after="0" w:line="240" w:lineRule="auto"/>
        <w:jc w:val="right"/>
        <w:rPr>
          <w:rFonts w:ascii="Times New Roman" w:eastAsia="Times New Roman" w:hAnsi="Times New Roman"/>
          <w:i/>
          <w:color w:val="000000"/>
          <w:sz w:val="28"/>
          <w:szCs w:val="28"/>
          <w:lang w:val="uk-UA" w:eastAsia="ru-RU"/>
        </w:rPr>
      </w:pP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Взаємодія категорій соціального і економічного у визначеній послідовності їх взаємозалежності утворює баланс між потребами і виробництвом, що дає змогу запобігти виникненню економічних криз перевиробництва. Тому неминучим стає взаємозв’язок між ефективністю використання персоналу, його стимулюванням та економічним становищем підприємства.</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Отже, завдяки такому методичному підходу з досліджень розвитку мотиваційного механізму виникає можливість кількісно визначити рівновагу між соціально-економічними інтересами найманої праці і бізнесу, тому актуальність цієї теми для машинобудівних підприємств не визиває сумніву.</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Метою дослідження є визначення на прикладі окремих машинобудівних підприємств Донецького регіону взаємозалежності у розвитку економічного потенціалу і мотиваційної системи підприємств.</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В результаті дослідження виявили, що взаємозалежність у розвитку економічного потенціалу і мотиваційної системи підприємств може бути визначена такими аналітичними показниками, як: частка оплати праці в реалізованій продукції або витрати заробітної плати на випуск продукції; індекс зростання середньомісячної заробітної плати; індекс зростання продуктивності праці; витрати на 1 грн. реалізованої продукції; індекс співвідношення фонду заробітної плати до валового прибутку.</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Проведений аналіз приводить до наступних висновків:</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hAnsi="Times New Roman"/>
          <w:sz w:val="28"/>
          <w:szCs w:val="28"/>
          <w:lang w:val="uk-UA"/>
        </w:rPr>
        <w:t xml:space="preserve">1. За період 2011-2013 рр. рівень середньомісячної зарплати зростав на кожному з підприємств і у 2013 р. досяг найбільшого рівня на ПАТ «АЗОКМ», тобто 3717 грн./особа місяць, який перевищував рівень ПАТ «НКМЗ» на 2,5% (3717/3626,4×100-100), рівень </w:t>
      </w:r>
      <w:proofErr w:type="spellStart"/>
      <w:r w:rsidRPr="00EC4521">
        <w:rPr>
          <w:rFonts w:ascii="Times New Roman" w:hAnsi="Times New Roman"/>
          <w:sz w:val="28"/>
          <w:szCs w:val="28"/>
          <w:lang w:val="uk-UA"/>
        </w:rPr>
        <w:t>ПрАТ</w:t>
      </w:r>
      <w:proofErr w:type="spellEnd"/>
      <w:r w:rsidRPr="00EC4521">
        <w:rPr>
          <w:rFonts w:ascii="Times New Roman" w:hAnsi="Times New Roman"/>
          <w:sz w:val="28"/>
          <w:szCs w:val="28"/>
          <w:lang w:val="uk-UA"/>
        </w:rPr>
        <w:t xml:space="preserve"> «</w:t>
      </w:r>
      <w:proofErr w:type="spellStart"/>
      <w:r w:rsidRPr="00EC4521">
        <w:rPr>
          <w:rFonts w:ascii="Times New Roman" w:hAnsi="Times New Roman"/>
          <w:sz w:val="28"/>
          <w:szCs w:val="28"/>
          <w:lang w:val="uk-UA"/>
        </w:rPr>
        <w:t>Вістек</w:t>
      </w:r>
      <w:proofErr w:type="spellEnd"/>
      <w:r w:rsidRPr="00EC4521">
        <w:rPr>
          <w:rFonts w:ascii="Times New Roman" w:hAnsi="Times New Roman"/>
          <w:sz w:val="28"/>
          <w:szCs w:val="28"/>
          <w:lang w:val="uk-UA"/>
        </w:rPr>
        <w:t xml:space="preserve">»- на 25,3% (3717/2966×100-100). </w:t>
      </w:r>
      <w:r w:rsidRPr="00EC4521">
        <w:rPr>
          <w:rFonts w:ascii="Times New Roman" w:eastAsia="Times New Roman" w:hAnsi="Times New Roman"/>
          <w:sz w:val="28"/>
          <w:szCs w:val="28"/>
          <w:lang w:val="uk-UA"/>
        </w:rPr>
        <w:t>Отже, найбільші темпи щорічного зростання заробітної плати виявилися на ПАТ «АЗОКМ».</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2. Середні темпи зростання продуктивності праці, як показника, що відображає господарські накопичення, які створюють джерело забезпечення зростання заробітної плати , склали за три роки в середньому, %:</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hAnsi="Times New Roman"/>
          <w:sz w:val="28"/>
          <w:szCs w:val="28"/>
          <w:lang w:val="uk-UA"/>
        </w:rPr>
        <w:t xml:space="preserve">у ПАТ «НКМЗ» 20 % </w:t>
      </w:r>
      <m:oMath>
        <m:d>
          <m:dPr>
            <m:begChr m:val="["/>
            <m:endChr m:val="]"/>
            <m:ctrlPr>
              <w:rPr>
                <w:rFonts w:ascii="Cambria Math" w:hAnsi="Times New Roman"/>
                <w:i/>
                <w:sz w:val="28"/>
                <w:szCs w:val="28"/>
                <w:lang w:val="uk-UA"/>
              </w:rPr>
            </m:ctrlPr>
          </m:dPr>
          <m:e>
            <m:d>
              <m:dPr>
                <m:ctrlPr>
                  <w:rPr>
                    <w:rFonts w:ascii="Cambria Math" w:hAnsi="Times New Roman"/>
                    <w:i/>
                    <w:sz w:val="28"/>
                    <w:szCs w:val="28"/>
                    <w:lang w:val="uk-UA"/>
                  </w:rPr>
                </m:ctrlPr>
              </m:dPr>
              <m:e>
                <m:f>
                  <m:fPr>
                    <m:ctrlPr>
                      <w:rPr>
                        <w:rFonts w:ascii="Cambria Math" w:hAnsi="Times New Roman"/>
                        <w:i/>
                        <w:sz w:val="28"/>
                        <w:szCs w:val="28"/>
                        <w:lang w:val="uk-UA"/>
                      </w:rPr>
                    </m:ctrlPr>
                  </m:fPr>
                  <m:num>
                    <m:r>
                      <w:rPr>
                        <w:rFonts w:ascii="Cambria Math" w:hAnsi="Times New Roman"/>
                        <w:sz w:val="28"/>
                        <w:szCs w:val="28"/>
                        <w:lang w:val="uk-UA"/>
                      </w:rPr>
                      <m:t>1,14+1,41+1,05</m:t>
                    </m:r>
                  </m:num>
                  <m:den>
                    <m:r>
                      <w:rPr>
                        <w:rFonts w:ascii="Cambria Math" w:hAnsi="Times New Roman"/>
                        <w:sz w:val="28"/>
                        <w:szCs w:val="28"/>
                        <w:lang w:val="uk-UA"/>
                      </w:rPr>
                      <m:t>3</m:t>
                    </m:r>
                  </m:den>
                </m:f>
              </m:e>
            </m:d>
            <m:r>
              <m:rPr>
                <m:sty m:val="p"/>
              </m:rPr>
              <w:rPr>
                <w:rFonts w:ascii="Cambria Math" w:hAnsi="Times New Roman"/>
                <w:sz w:val="28"/>
                <w:szCs w:val="28"/>
                <w:lang w:val="uk-UA"/>
              </w:rPr>
              <m:t>×</m:t>
            </m:r>
            <m:r>
              <w:rPr>
                <w:rFonts w:ascii="Cambria Math" w:hAnsi="Times New Roman"/>
                <w:sz w:val="28"/>
                <w:szCs w:val="28"/>
                <w:lang w:val="uk-UA"/>
              </w:rPr>
              <m:t>100</m:t>
            </m:r>
            <m:r>
              <w:rPr>
                <w:rFonts w:ascii="Cambria Math" w:hAnsi="Times New Roman"/>
                <w:sz w:val="28"/>
                <w:szCs w:val="28"/>
                <w:lang w:val="uk-UA"/>
              </w:rPr>
              <m:t>-</m:t>
            </m:r>
            <m:r>
              <w:rPr>
                <w:rFonts w:ascii="Cambria Math" w:hAnsi="Times New Roman"/>
                <w:sz w:val="28"/>
                <w:szCs w:val="28"/>
                <w:lang w:val="uk-UA"/>
              </w:rPr>
              <m:t>100</m:t>
            </m:r>
          </m:e>
        </m:d>
      </m:oMath>
      <w:r w:rsidRPr="00EC4521">
        <w:rPr>
          <w:rFonts w:ascii="Times New Roman" w:eastAsia="Times New Roman" w:hAnsi="Times New Roman"/>
          <w:sz w:val="28"/>
          <w:szCs w:val="28"/>
          <w:lang w:val="uk-UA"/>
        </w:rPr>
        <w:t>;</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 xml:space="preserve">у </w:t>
      </w:r>
      <w:proofErr w:type="spellStart"/>
      <w:r w:rsidRPr="00EC4521">
        <w:rPr>
          <w:rFonts w:ascii="Times New Roman" w:eastAsia="Times New Roman" w:hAnsi="Times New Roman"/>
          <w:sz w:val="28"/>
          <w:szCs w:val="28"/>
          <w:lang w:val="uk-UA"/>
        </w:rPr>
        <w:t>ПрАТ</w:t>
      </w:r>
      <w:proofErr w:type="spellEnd"/>
      <w:r w:rsidRPr="00EC4521">
        <w:rPr>
          <w:rFonts w:ascii="Times New Roman" w:eastAsia="Times New Roman" w:hAnsi="Times New Roman"/>
          <w:sz w:val="28"/>
          <w:szCs w:val="28"/>
          <w:lang w:val="uk-UA"/>
        </w:rPr>
        <w:t xml:space="preserve"> «</w:t>
      </w:r>
      <w:proofErr w:type="spellStart"/>
      <w:r w:rsidRPr="00EC4521">
        <w:rPr>
          <w:rFonts w:ascii="Times New Roman" w:eastAsia="Times New Roman" w:hAnsi="Times New Roman"/>
          <w:sz w:val="28"/>
          <w:szCs w:val="28"/>
          <w:lang w:val="uk-UA"/>
        </w:rPr>
        <w:t>Вістек</w:t>
      </w:r>
      <w:proofErr w:type="spellEnd"/>
      <w:r w:rsidRPr="00EC4521">
        <w:rPr>
          <w:rFonts w:ascii="Times New Roman" w:eastAsia="Times New Roman" w:hAnsi="Times New Roman"/>
          <w:sz w:val="28"/>
          <w:szCs w:val="28"/>
          <w:lang w:val="uk-UA"/>
        </w:rPr>
        <w:t xml:space="preserve">» 26,3 </w:t>
      </w:r>
      <w:r w:rsidRPr="00EC4521">
        <w:rPr>
          <w:rFonts w:ascii="Times New Roman" w:hAnsi="Times New Roman"/>
          <w:sz w:val="28"/>
          <w:szCs w:val="28"/>
          <w:lang w:val="uk-UA"/>
        </w:rPr>
        <w:t xml:space="preserve">% </w:t>
      </w:r>
      <m:oMath>
        <m:d>
          <m:dPr>
            <m:begChr m:val="["/>
            <m:endChr m:val="]"/>
            <m:ctrlPr>
              <w:rPr>
                <w:rFonts w:ascii="Cambria Math" w:hAnsi="Times New Roman"/>
                <w:i/>
                <w:sz w:val="28"/>
                <w:szCs w:val="28"/>
                <w:lang w:val="uk-UA"/>
              </w:rPr>
            </m:ctrlPr>
          </m:dPr>
          <m:e>
            <m:d>
              <m:dPr>
                <m:ctrlPr>
                  <w:rPr>
                    <w:rFonts w:ascii="Cambria Math" w:hAnsi="Times New Roman"/>
                    <w:i/>
                    <w:sz w:val="28"/>
                    <w:szCs w:val="28"/>
                    <w:lang w:val="uk-UA"/>
                  </w:rPr>
                </m:ctrlPr>
              </m:dPr>
              <m:e>
                <m:f>
                  <m:fPr>
                    <m:ctrlPr>
                      <w:rPr>
                        <w:rFonts w:ascii="Cambria Math" w:hAnsi="Times New Roman"/>
                        <w:i/>
                        <w:sz w:val="28"/>
                        <w:szCs w:val="28"/>
                        <w:lang w:val="uk-UA"/>
                      </w:rPr>
                    </m:ctrlPr>
                  </m:fPr>
                  <m:num>
                    <m:r>
                      <w:rPr>
                        <w:rFonts w:ascii="Cambria Math" w:hAnsi="Times New Roman"/>
                        <w:sz w:val="28"/>
                        <w:szCs w:val="28"/>
                        <w:lang w:val="uk-UA"/>
                      </w:rPr>
                      <m:t>1,21+1,51+1,07</m:t>
                    </m:r>
                  </m:num>
                  <m:den>
                    <m:r>
                      <w:rPr>
                        <w:rFonts w:ascii="Cambria Math" w:hAnsi="Times New Roman"/>
                        <w:sz w:val="28"/>
                        <w:szCs w:val="28"/>
                        <w:lang w:val="uk-UA"/>
                      </w:rPr>
                      <m:t>3</m:t>
                    </m:r>
                  </m:den>
                </m:f>
              </m:e>
            </m:d>
            <m:r>
              <m:rPr>
                <m:sty m:val="p"/>
              </m:rPr>
              <w:rPr>
                <w:rFonts w:ascii="Cambria Math" w:hAnsi="Times New Roman"/>
                <w:sz w:val="28"/>
                <w:szCs w:val="28"/>
                <w:lang w:val="uk-UA"/>
              </w:rPr>
              <m:t>×</m:t>
            </m:r>
            <m:r>
              <w:rPr>
                <w:rFonts w:ascii="Cambria Math" w:hAnsi="Times New Roman"/>
                <w:sz w:val="28"/>
                <w:szCs w:val="28"/>
                <w:lang w:val="uk-UA"/>
              </w:rPr>
              <m:t>100</m:t>
            </m:r>
            <m:r>
              <w:rPr>
                <w:rFonts w:ascii="Cambria Math" w:hAnsi="Times New Roman"/>
                <w:sz w:val="28"/>
                <w:szCs w:val="28"/>
                <w:lang w:val="uk-UA"/>
              </w:rPr>
              <m:t>-</m:t>
            </m:r>
            <m:r>
              <w:rPr>
                <w:rFonts w:ascii="Cambria Math" w:hAnsi="Times New Roman"/>
                <w:sz w:val="28"/>
                <w:szCs w:val="28"/>
                <w:lang w:val="uk-UA"/>
              </w:rPr>
              <m:t>100</m:t>
            </m:r>
          </m:e>
        </m:d>
      </m:oMath>
      <w:r w:rsidRPr="00EC4521">
        <w:rPr>
          <w:rFonts w:ascii="Times New Roman" w:eastAsia="Times New Roman" w:hAnsi="Times New Roman"/>
          <w:sz w:val="28"/>
          <w:szCs w:val="28"/>
          <w:lang w:val="uk-UA"/>
        </w:rPr>
        <w:t>;</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 xml:space="preserve">у ПАТ «АЗОКМ» 37,7 </w:t>
      </w:r>
      <w:r w:rsidRPr="00EC4521">
        <w:rPr>
          <w:rFonts w:ascii="Times New Roman" w:hAnsi="Times New Roman"/>
          <w:sz w:val="28"/>
          <w:szCs w:val="28"/>
          <w:lang w:val="uk-UA"/>
        </w:rPr>
        <w:t xml:space="preserve">% </w:t>
      </w:r>
      <m:oMath>
        <m:d>
          <m:dPr>
            <m:begChr m:val="["/>
            <m:endChr m:val="]"/>
            <m:ctrlPr>
              <w:rPr>
                <w:rFonts w:ascii="Cambria Math" w:hAnsi="Times New Roman"/>
                <w:i/>
                <w:sz w:val="28"/>
                <w:szCs w:val="28"/>
                <w:lang w:val="uk-UA"/>
              </w:rPr>
            </m:ctrlPr>
          </m:dPr>
          <m:e>
            <m:d>
              <m:dPr>
                <m:ctrlPr>
                  <w:rPr>
                    <w:rFonts w:ascii="Cambria Math" w:hAnsi="Times New Roman"/>
                    <w:i/>
                    <w:sz w:val="28"/>
                    <w:szCs w:val="28"/>
                    <w:lang w:val="uk-UA"/>
                  </w:rPr>
                </m:ctrlPr>
              </m:dPr>
              <m:e>
                <m:f>
                  <m:fPr>
                    <m:ctrlPr>
                      <w:rPr>
                        <w:rFonts w:ascii="Cambria Math" w:hAnsi="Times New Roman"/>
                        <w:i/>
                        <w:sz w:val="28"/>
                        <w:szCs w:val="28"/>
                        <w:lang w:val="uk-UA"/>
                      </w:rPr>
                    </m:ctrlPr>
                  </m:fPr>
                  <m:num>
                    <m:r>
                      <w:rPr>
                        <w:rFonts w:ascii="Cambria Math" w:hAnsi="Times New Roman"/>
                        <w:sz w:val="28"/>
                        <w:szCs w:val="28"/>
                        <w:lang w:val="uk-UA"/>
                      </w:rPr>
                      <m:t>1,32+1,47+1,35</m:t>
                    </m:r>
                  </m:num>
                  <m:den>
                    <m:r>
                      <w:rPr>
                        <w:rFonts w:ascii="Cambria Math" w:hAnsi="Times New Roman"/>
                        <w:sz w:val="28"/>
                        <w:szCs w:val="28"/>
                        <w:lang w:val="uk-UA"/>
                      </w:rPr>
                      <m:t>3</m:t>
                    </m:r>
                  </m:den>
                </m:f>
              </m:e>
            </m:d>
            <m:r>
              <m:rPr>
                <m:sty m:val="p"/>
              </m:rPr>
              <w:rPr>
                <w:rFonts w:ascii="Cambria Math" w:hAnsi="Times New Roman"/>
                <w:sz w:val="28"/>
                <w:szCs w:val="28"/>
                <w:lang w:val="uk-UA"/>
              </w:rPr>
              <m:t>×</m:t>
            </m:r>
            <m:r>
              <w:rPr>
                <w:rFonts w:ascii="Cambria Math" w:hAnsi="Times New Roman"/>
                <w:sz w:val="28"/>
                <w:szCs w:val="28"/>
                <w:lang w:val="uk-UA"/>
              </w:rPr>
              <m:t>100</m:t>
            </m:r>
            <m:r>
              <w:rPr>
                <w:rFonts w:ascii="Cambria Math" w:hAnsi="Times New Roman"/>
                <w:sz w:val="28"/>
                <w:szCs w:val="28"/>
                <w:lang w:val="uk-UA"/>
              </w:rPr>
              <m:t>-</m:t>
            </m:r>
            <m:r>
              <w:rPr>
                <w:rFonts w:ascii="Cambria Math" w:hAnsi="Times New Roman"/>
                <w:sz w:val="28"/>
                <w:szCs w:val="28"/>
                <w:lang w:val="uk-UA"/>
              </w:rPr>
              <m:t>100</m:t>
            </m:r>
          </m:e>
        </m:d>
      </m:oMath>
      <w:r w:rsidRPr="00EC4521">
        <w:rPr>
          <w:rFonts w:ascii="Times New Roman" w:eastAsia="Times New Roman" w:hAnsi="Times New Roman"/>
          <w:sz w:val="28"/>
          <w:szCs w:val="28"/>
          <w:lang w:val="uk-UA"/>
        </w:rPr>
        <w:t>.</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Як видно найбільші темпи приросту продуктивності праці досягнуто на ПАТ «АЗОКМ».</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3. Звідси співвідношення темпів зростання заробітної плати на один відсоток продуктивності праці. Таким чином, найвищий рівень середньомісячної заробітної плати досягнуто на ПАТ «АЗОКМ» за рахунок створення передумов зростання економічного потенціалу на основі ефективного використання праці.</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eastAsia="Times New Roman" w:hAnsi="Times New Roman"/>
          <w:sz w:val="28"/>
          <w:szCs w:val="28"/>
          <w:lang w:val="uk-UA"/>
        </w:rPr>
        <w:lastRenderedPageBreak/>
        <w:t>4. В той же час загальні витрати на 1 грн. реалізованої продукції у 2013 р. у ПАТ «АЗОКМ» перевищували рівень цього показника на інших підприємствах на 33,3 % (0,88/0,66</w:t>
      </w:r>
      <w:r w:rsidRPr="00EC4521">
        <w:rPr>
          <w:rFonts w:ascii="Times New Roman" w:hAnsi="Times New Roman"/>
          <w:sz w:val="28"/>
          <w:szCs w:val="28"/>
          <w:lang w:val="uk-UA"/>
        </w:rPr>
        <w:t xml:space="preserve">×100-100), що свідчить про високий рівень </w:t>
      </w:r>
      <w:proofErr w:type="spellStart"/>
      <w:r w:rsidRPr="00EC4521">
        <w:rPr>
          <w:rFonts w:ascii="Times New Roman" w:hAnsi="Times New Roman"/>
          <w:sz w:val="28"/>
          <w:szCs w:val="28"/>
          <w:lang w:val="uk-UA"/>
        </w:rPr>
        <w:t>матеріаломістскості</w:t>
      </w:r>
      <w:proofErr w:type="spellEnd"/>
      <w:r w:rsidRPr="00EC4521">
        <w:rPr>
          <w:rFonts w:ascii="Times New Roman" w:hAnsi="Times New Roman"/>
          <w:sz w:val="28"/>
          <w:szCs w:val="28"/>
          <w:lang w:val="uk-UA"/>
        </w:rPr>
        <w:t xml:space="preserve"> продукції підприємства, яке використовує в якості сировини кольоровий металобрухт з-за кордону.</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hAnsi="Times New Roman"/>
          <w:sz w:val="28"/>
          <w:szCs w:val="28"/>
          <w:lang w:val="uk-UA"/>
        </w:rPr>
        <w:t xml:space="preserve">5. Найбільш вразливим показником, який викриває суспільні відносини у виробництві між найманим персоналом і роботодавцем з приводу розділу доданої вартості, виступає співвідношення фонду заробітної плати до  валового прибутку. Як свідчать дані табл. 1, найвищий рівень цього показника притаманний саме ПАТ «АЗОКМ». </w:t>
      </w:r>
    </w:p>
    <w:p w:rsidR="007864E3" w:rsidRPr="00EC4521" w:rsidRDefault="007864E3" w:rsidP="007864E3">
      <w:pPr>
        <w:spacing w:after="0" w:line="240" w:lineRule="auto"/>
        <w:ind w:firstLine="709"/>
        <w:jc w:val="both"/>
        <w:rPr>
          <w:rFonts w:ascii="Times New Roman" w:eastAsia="Times New Roman" w:hAnsi="Times New Roman"/>
          <w:sz w:val="28"/>
          <w:szCs w:val="28"/>
          <w:lang w:val="uk-UA"/>
        </w:rPr>
      </w:pPr>
      <w:r w:rsidRPr="00EC4521">
        <w:rPr>
          <w:rFonts w:ascii="Times New Roman" w:eastAsia="Times New Roman" w:hAnsi="Times New Roman"/>
          <w:sz w:val="28"/>
          <w:szCs w:val="28"/>
          <w:lang w:val="uk-UA"/>
        </w:rPr>
        <w:t xml:space="preserve">Але виникає потреба у науковому обґрунтуванні можливого зростання рівня оплати праці шляхом оптимізації темпів зростання продуктивності і оплати праці, частки її у виробленій продукції, </w:t>
      </w:r>
      <w:proofErr w:type="spellStart"/>
      <w:r w:rsidRPr="00EC4521">
        <w:rPr>
          <w:rFonts w:ascii="Times New Roman" w:eastAsia="Times New Roman" w:hAnsi="Times New Roman"/>
          <w:sz w:val="28"/>
          <w:szCs w:val="28"/>
          <w:lang w:val="uk-UA"/>
        </w:rPr>
        <w:t>індекса</w:t>
      </w:r>
      <w:proofErr w:type="spellEnd"/>
      <w:r w:rsidRPr="00EC4521">
        <w:rPr>
          <w:rFonts w:ascii="Times New Roman" w:eastAsia="Times New Roman" w:hAnsi="Times New Roman"/>
          <w:sz w:val="28"/>
          <w:szCs w:val="28"/>
          <w:lang w:val="uk-UA"/>
        </w:rPr>
        <w:t xml:space="preserve"> зростання споживчих цін, наявності резервів зростання продуктивності праці.</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 xml:space="preserve">Розрахунки свідчать про можливі структурні зміни рівня оплати праці між підприємствами в залежності від економічних можливостей. Тому на ПАТ «НКМЗ», який має нижчий економічний рівень ніж ПАТ «АЗОКМ» його оплата  праці повинна знижуватись відносно рівня </w:t>
      </w:r>
      <w:proofErr w:type="spellStart"/>
      <w:r w:rsidRPr="00EC4521">
        <w:rPr>
          <w:rFonts w:ascii="Times New Roman" w:hAnsi="Times New Roman"/>
          <w:sz w:val="28"/>
          <w:szCs w:val="28"/>
          <w:lang w:val="uk-UA"/>
        </w:rPr>
        <w:t>ПрАТ</w:t>
      </w:r>
      <w:proofErr w:type="spellEnd"/>
      <w:r w:rsidRPr="00EC4521">
        <w:rPr>
          <w:rFonts w:ascii="Times New Roman" w:hAnsi="Times New Roman"/>
          <w:sz w:val="28"/>
          <w:szCs w:val="28"/>
          <w:lang w:val="uk-UA"/>
        </w:rPr>
        <w:t xml:space="preserve"> «</w:t>
      </w:r>
      <w:proofErr w:type="spellStart"/>
      <w:r w:rsidRPr="00EC4521">
        <w:rPr>
          <w:rFonts w:ascii="Times New Roman" w:hAnsi="Times New Roman"/>
          <w:sz w:val="28"/>
          <w:szCs w:val="28"/>
          <w:lang w:val="uk-UA"/>
        </w:rPr>
        <w:t>Вістек</w:t>
      </w:r>
      <w:proofErr w:type="spellEnd"/>
      <w:r w:rsidRPr="00EC4521">
        <w:rPr>
          <w:rFonts w:ascii="Times New Roman" w:hAnsi="Times New Roman"/>
          <w:sz w:val="28"/>
          <w:szCs w:val="28"/>
          <w:lang w:val="uk-UA"/>
        </w:rPr>
        <w:t xml:space="preserve">» з 22,6% до 16,8%. В той же час на ПАТ «АЗОКМ», який має більш високі економічні показники ніж ПАТ «НКМЗ» рівень зарплати має бути підвищений від 25,6 % відносно рівня </w:t>
      </w:r>
      <w:proofErr w:type="spellStart"/>
      <w:r w:rsidRPr="00EC4521">
        <w:rPr>
          <w:rFonts w:ascii="Times New Roman" w:hAnsi="Times New Roman"/>
          <w:sz w:val="28"/>
          <w:szCs w:val="28"/>
          <w:lang w:val="uk-UA"/>
        </w:rPr>
        <w:t>ПрАТ</w:t>
      </w:r>
      <w:proofErr w:type="spellEnd"/>
      <w:r w:rsidRPr="00EC4521">
        <w:rPr>
          <w:rFonts w:ascii="Times New Roman" w:hAnsi="Times New Roman"/>
          <w:sz w:val="28"/>
          <w:szCs w:val="28"/>
          <w:lang w:val="uk-UA"/>
        </w:rPr>
        <w:t xml:space="preserve"> «</w:t>
      </w:r>
      <w:proofErr w:type="spellStart"/>
      <w:r w:rsidRPr="00EC4521">
        <w:rPr>
          <w:rFonts w:ascii="Times New Roman" w:hAnsi="Times New Roman"/>
          <w:sz w:val="28"/>
          <w:szCs w:val="28"/>
          <w:lang w:val="uk-UA"/>
        </w:rPr>
        <w:t>Вістек</w:t>
      </w:r>
      <w:proofErr w:type="spellEnd"/>
      <w:r w:rsidRPr="00EC4521">
        <w:rPr>
          <w:rFonts w:ascii="Times New Roman" w:hAnsi="Times New Roman"/>
          <w:sz w:val="28"/>
          <w:szCs w:val="28"/>
          <w:lang w:val="uk-UA"/>
        </w:rPr>
        <w:t>» до 33%.</w:t>
      </w:r>
    </w:p>
    <w:p w:rsidR="007864E3" w:rsidRPr="00EC4521" w:rsidRDefault="007864E3" w:rsidP="007864E3">
      <w:pPr>
        <w:spacing w:after="0" w:line="240" w:lineRule="auto"/>
        <w:ind w:firstLine="709"/>
        <w:jc w:val="both"/>
        <w:rPr>
          <w:rFonts w:ascii="Times New Roman" w:hAnsi="Times New Roman"/>
          <w:sz w:val="28"/>
          <w:szCs w:val="28"/>
          <w:lang w:val="uk-UA"/>
        </w:rPr>
      </w:pPr>
      <w:r w:rsidRPr="00EC4521">
        <w:rPr>
          <w:rFonts w:ascii="Times New Roman" w:hAnsi="Times New Roman"/>
          <w:sz w:val="28"/>
          <w:szCs w:val="28"/>
          <w:lang w:val="uk-UA"/>
        </w:rPr>
        <w:t xml:space="preserve">Таким чином, застосування методології кількісного визначення резервів підвищення рівня заробітної плати в залежності від економічного потенціалу стає передумовою дотримання взаємозалежності у розвитку економічного потенціалу і мотиваційної системи стимулювання праці. Крім того, розкритий науковий підхід до формування мотиваційного механізму стимулювання праці дає змогу формувати і кількісно визначити баланс соціально-економічних інтересів найманої праці і бізнесу та </w:t>
      </w:r>
      <w:proofErr w:type="spellStart"/>
      <w:r w:rsidRPr="00EC4521">
        <w:rPr>
          <w:rFonts w:ascii="Times New Roman" w:hAnsi="Times New Roman"/>
          <w:sz w:val="28"/>
          <w:szCs w:val="28"/>
          <w:lang w:val="uk-UA"/>
        </w:rPr>
        <w:t>диференційувати</w:t>
      </w:r>
      <w:proofErr w:type="spellEnd"/>
      <w:r w:rsidRPr="00EC4521">
        <w:rPr>
          <w:rFonts w:ascii="Times New Roman" w:hAnsi="Times New Roman"/>
          <w:sz w:val="28"/>
          <w:szCs w:val="28"/>
          <w:lang w:val="uk-UA"/>
        </w:rPr>
        <w:t xml:space="preserve"> рівень оплати праці, що виявляється як один із основних напрямів досліджень  з удосконалення мотиваційного механізму стимулювання праці і бізнесу.</w:t>
      </w:r>
    </w:p>
    <w:p w:rsidR="007864E3" w:rsidRDefault="007864E3" w:rsidP="007864E3">
      <w:pPr>
        <w:spacing w:after="0" w:line="240" w:lineRule="auto"/>
        <w:jc w:val="center"/>
        <w:rPr>
          <w:rFonts w:ascii="Times New Roman" w:hAnsi="Times New Roman"/>
          <w:sz w:val="24"/>
          <w:szCs w:val="28"/>
          <w:lang w:val="uk-UA"/>
        </w:rPr>
      </w:pPr>
    </w:p>
    <w:p w:rsidR="007864E3" w:rsidRPr="00720D40" w:rsidRDefault="007864E3" w:rsidP="007864E3">
      <w:pPr>
        <w:spacing w:after="0" w:line="240" w:lineRule="auto"/>
        <w:jc w:val="center"/>
        <w:rPr>
          <w:rFonts w:ascii="Times New Roman" w:eastAsia="Times New Roman" w:hAnsi="Times New Roman"/>
          <w:sz w:val="24"/>
          <w:szCs w:val="28"/>
          <w:lang w:val="uk-UA"/>
        </w:rPr>
      </w:pPr>
      <w:r w:rsidRPr="00720D40">
        <w:rPr>
          <w:rFonts w:ascii="Times New Roman" w:hAnsi="Times New Roman"/>
          <w:sz w:val="24"/>
          <w:szCs w:val="28"/>
          <w:lang w:val="uk-UA"/>
        </w:rPr>
        <w:t>Список використаних джерел</w:t>
      </w:r>
    </w:p>
    <w:p w:rsidR="007864E3" w:rsidRPr="00720D40" w:rsidRDefault="007864E3" w:rsidP="007864E3">
      <w:pPr>
        <w:numPr>
          <w:ilvl w:val="0"/>
          <w:numId w:val="1"/>
        </w:numPr>
        <w:tabs>
          <w:tab w:val="left" w:pos="1134"/>
        </w:tabs>
        <w:spacing w:after="0" w:line="240" w:lineRule="auto"/>
        <w:ind w:left="0" w:firstLine="709"/>
        <w:jc w:val="both"/>
        <w:rPr>
          <w:rFonts w:ascii="Times New Roman" w:hAnsi="Times New Roman"/>
          <w:sz w:val="24"/>
          <w:szCs w:val="28"/>
        </w:rPr>
      </w:pPr>
      <w:r w:rsidRPr="00720D40">
        <w:rPr>
          <w:rFonts w:ascii="Times New Roman" w:hAnsi="Times New Roman"/>
          <w:sz w:val="24"/>
          <w:szCs w:val="28"/>
        </w:rPr>
        <w:t>Ковалев В. Н. Роль труда в формировании общественных отноше</w:t>
      </w:r>
      <w:r w:rsidRPr="00720D40">
        <w:rPr>
          <w:rFonts w:ascii="Times New Roman" w:hAnsi="Times New Roman"/>
          <w:sz w:val="24"/>
          <w:szCs w:val="28"/>
        </w:rPr>
        <w:softHyphen/>
        <w:t>ний</w:t>
      </w:r>
      <w:proofErr w:type="gramStart"/>
      <w:r w:rsidRPr="00720D40">
        <w:rPr>
          <w:rFonts w:ascii="Times New Roman" w:hAnsi="Times New Roman"/>
          <w:sz w:val="24"/>
          <w:szCs w:val="28"/>
        </w:rPr>
        <w:t xml:space="preserve"> :</w:t>
      </w:r>
      <w:proofErr w:type="gramEnd"/>
      <w:r w:rsidRPr="00720D40">
        <w:rPr>
          <w:rFonts w:ascii="Times New Roman" w:hAnsi="Times New Roman"/>
          <w:sz w:val="24"/>
          <w:szCs w:val="28"/>
        </w:rPr>
        <w:t xml:space="preserve"> монография / В. Н. Ковалев. – Харьков: «НТМТ», 2015. – 304 с.</w:t>
      </w:r>
    </w:p>
    <w:p w:rsidR="007864E3" w:rsidRPr="00720D40" w:rsidRDefault="007864E3" w:rsidP="007864E3">
      <w:pPr>
        <w:numPr>
          <w:ilvl w:val="0"/>
          <w:numId w:val="1"/>
        </w:numPr>
        <w:tabs>
          <w:tab w:val="left" w:pos="1134"/>
        </w:tabs>
        <w:spacing w:after="0" w:line="240" w:lineRule="auto"/>
        <w:ind w:left="0" w:firstLine="709"/>
        <w:jc w:val="both"/>
        <w:rPr>
          <w:rFonts w:ascii="Times New Roman" w:hAnsi="Times New Roman"/>
          <w:sz w:val="24"/>
          <w:szCs w:val="28"/>
        </w:rPr>
      </w:pPr>
      <w:r w:rsidRPr="00720D40">
        <w:rPr>
          <w:rFonts w:ascii="Times New Roman" w:hAnsi="Times New Roman"/>
          <w:sz w:val="24"/>
          <w:szCs w:val="28"/>
        </w:rPr>
        <w:t xml:space="preserve">Ковалев В. Н. Определяющая роль закона равновесия в развитии природы и общества: социально-экономический аспект / В. Н. Ковалев // </w:t>
      </w:r>
      <w:proofErr w:type="gramStart"/>
      <w:r w:rsidRPr="00720D40">
        <w:rPr>
          <w:rFonts w:ascii="Times New Roman" w:hAnsi="Times New Roman"/>
          <w:sz w:val="24"/>
          <w:szCs w:val="28"/>
          <w:lang w:val="uk-UA"/>
        </w:rPr>
        <w:t>Вісник</w:t>
      </w:r>
      <w:proofErr w:type="gramEnd"/>
      <w:r w:rsidRPr="00720D40">
        <w:rPr>
          <w:rFonts w:ascii="Times New Roman" w:hAnsi="Times New Roman"/>
          <w:sz w:val="24"/>
          <w:szCs w:val="28"/>
          <w:lang w:val="uk-UA"/>
        </w:rPr>
        <w:t xml:space="preserve"> економічної науки України. Науковий журнал, 2015. – № 1 (28). – С. 82-88.</w:t>
      </w:r>
    </w:p>
    <w:p w:rsidR="007864E3" w:rsidRPr="00EC4521" w:rsidRDefault="007864E3" w:rsidP="007864E3">
      <w:pPr>
        <w:pStyle w:val="a3"/>
        <w:numPr>
          <w:ilvl w:val="0"/>
          <w:numId w:val="1"/>
        </w:numPr>
        <w:tabs>
          <w:tab w:val="left" w:pos="1134"/>
        </w:tabs>
        <w:ind w:left="0" w:firstLine="709"/>
        <w:contextualSpacing w:val="0"/>
        <w:jc w:val="both"/>
        <w:rPr>
          <w:sz w:val="28"/>
          <w:szCs w:val="28"/>
          <w:lang w:val="uk-UA"/>
        </w:rPr>
      </w:pPr>
      <w:r w:rsidRPr="00720D40">
        <w:rPr>
          <w:szCs w:val="28"/>
          <w:lang w:val="uk-UA"/>
        </w:rPr>
        <w:t>Ковальов В. М. Методологічні підходи до визначення порогу соціальної відчутності оплати праці в Україні (теоретичний аспект) / В. Н. </w:t>
      </w:r>
      <w:proofErr w:type="spellStart"/>
      <w:r w:rsidRPr="00720D40">
        <w:rPr>
          <w:szCs w:val="28"/>
          <w:lang w:val="uk-UA"/>
        </w:rPr>
        <w:t>Ковалев</w:t>
      </w:r>
      <w:proofErr w:type="spellEnd"/>
      <w:r w:rsidRPr="00720D40">
        <w:rPr>
          <w:szCs w:val="28"/>
          <w:lang w:val="uk-UA"/>
        </w:rPr>
        <w:t xml:space="preserve">, Е. А. </w:t>
      </w:r>
      <w:proofErr w:type="spellStart"/>
      <w:r w:rsidRPr="00720D40">
        <w:rPr>
          <w:szCs w:val="28"/>
          <w:lang w:val="uk-UA"/>
        </w:rPr>
        <w:t>Атаева</w:t>
      </w:r>
      <w:proofErr w:type="spellEnd"/>
      <w:r w:rsidRPr="00720D40">
        <w:rPr>
          <w:szCs w:val="28"/>
          <w:lang w:val="uk-UA"/>
        </w:rPr>
        <w:t>, Е. Н. Шевченко // Україна: аспекти праці. Науково-економічний та суспільно-політичний журнал. – Київ, 2014. – № 3. – С. 28-33</w:t>
      </w:r>
      <w:r w:rsidRPr="00EC4521">
        <w:rPr>
          <w:sz w:val="28"/>
          <w:szCs w:val="28"/>
          <w:lang w:val="uk-UA"/>
        </w:rPr>
        <w:t>.</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A30AE"/>
    <w:multiLevelType w:val="hybridMultilevel"/>
    <w:tmpl w:val="9796DED0"/>
    <w:lvl w:ilvl="0" w:tplc="D23CD6C8">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864E3"/>
    <w:rsid w:val="0007502A"/>
    <w:rsid w:val="00164619"/>
    <w:rsid w:val="00453984"/>
    <w:rsid w:val="007864E3"/>
    <w:rsid w:val="00797960"/>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E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Литература"/>
    <w:basedOn w:val="a"/>
    <w:uiPriority w:val="34"/>
    <w:qFormat/>
    <w:rsid w:val="007864E3"/>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8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4E3"/>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3341</Words>
  <Characters>1905</Characters>
  <Application>Microsoft Office Word</Application>
  <DocSecurity>0</DocSecurity>
  <Lines>15</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2016-10-04T08:55:00Z</dcterms:created>
  <dcterms:modified xsi:type="dcterms:W3CDTF">2016-10-04T08:55:00Z</dcterms:modified>
</cp:coreProperties>
</file>