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C4" w:rsidRPr="00260F36" w:rsidRDefault="002816C4" w:rsidP="002816C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60F36">
        <w:rPr>
          <w:rFonts w:ascii="Times New Roman" w:hAnsi="Times New Roman"/>
          <w:b/>
          <w:caps/>
          <w:sz w:val="28"/>
          <w:szCs w:val="28"/>
          <w:lang w:val="uk-UA"/>
        </w:rPr>
        <w:t>градуювальна характеристика п</w:t>
      </w:r>
      <w:r w:rsidRPr="00260F36">
        <w:rPr>
          <w:rFonts w:ascii="Times New Roman" w:hAnsi="Times New Roman"/>
          <w:b/>
          <w:caps/>
          <w:sz w:val="28"/>
          <w:szCs w:val="28"/>
          <w:lang w:val="uk-UA" w:eastAsia="uk-UA"/>
        </w:rPr>
        <w:t>’єзо</w:t>
      </w:r>
      <w:r w:rsidRPr="00260F36">
        <w:rPr>
          <w:rFonts w:ascii="Times New Roman" w:hAnsi="Times New Roman"/>
          <w:b/>
          <w:caps/>
          <w:sz w:val="28"/>
          <w:szCs w:val="28"/>
          <w:lang w:val="uk-UA"/>
        </w:rPr>
        <w:t>резонансного датчика мікропереміщень</w:t>
      </w:r>
    </w:p>
    <w:p w:rsidR="002816C4" w:rsidRPr="00260F36" w:rsidRDefault="002816C4" w:rsidP="002816C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260F36">
        <w:rPr>
          <w:rFonts w:ascii="Times New Roman" w:hAnsi="Times New Roman"/>
          <w:i/>
          <w:sz w:val="28"/>
          <w:szCs w:val="28"/>
          <w:lang w:val="uk-UA"/>
        </w:rPr>
        <w:t xml:space="preserve">Автор: Семенець М.Д., асистент </w:t>
      </w:r>
    </w:p>
    <w:p w:rsidR="002816C4" w:rsidRPr="00260F36" w:rsidRDefault="002816C4" w:rsidP="002816C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260F36">
        <w:rPr>
          <w:rFonts w:ascii="Times New Roman" w:hAnsi="Times New Roman"/>
          <w:i/>
          <w:sz w:val="28"/>
          <w:szCs w:val="28"/>
          <w:lang w:val="uk-UA"/>
        </w:rPr>
        <w:t xml:space="preserve">кафедри </w:t>
      </w:r>
      <w:proofErr w:type="spellStart"/>
      <w:r w:rsidRPr="00260F36">
        <w:rPr>
          <w:rFonts w:ascii="Times New Roman" w:hAnsi="Times New Roman"/>
          <w:i/>
          <w:sz w:val="28"/>
          <w:szCs w:val="28"/>
          <w:lang w:val="uk-UA"/>
        </w:rPr>
        <w:t>ЕМС</w:t>
      </w:r>
      <w:proofErr w:type="spellEnd"/>
      <w:r w:rsidRPr="00260F36">
        <w:rPr>
          <w:rFonts w:ascii="Times New Roman" w:hAnsi="Times New Roman"/>
          <w:i/>
          <w:sz w:val="28"/>
          <w:szCs w:val="28"/>
          <w:lang w:val="uk-UA"/>
        </w:rPr>
        <w:t xml:space="preserve"> ННППІ УІПА</w:t>
      </w:r>
    </w:p>
    <w:p w:rsidR="002816C4" w:rsidRPr="00260F36" w:rsidRDefault="002816C4" w:rsidP="002816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16C4" w:rsidRPr="00260F36" w:rsidRDefault="002816C4" w:rsidP="002816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0F36">
        <w:rPr>
          <w:rFonts w:ascii="Times New Roman" w:hAnsi="Times New Roman"/>
          <w:sz w:val="28"/>
          <w:szCs w:val="28"/>
          <w:lang w:val="uk-UA" w:eastAsia="uk-UA"/>
        </w:rPr>
        <w:t>П’єзорезонансні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 датчики (ПРД) - один з найбільш універсальних типів первинних вимірювальних перетворювачів (ІП). Універсальність </w:t>
      </w:r>
      <w:proofErr w:type="spellStart"/>
      <w:r w:rsidRPr="00260F36">
        <w:rPr>
          <w:rFonts w:ascii="Times New Roman" w:hAnsi="Times New Roman"/>
          <w:sz w:val="28"/>
          <w:szCs w:val="28"/>
          <w:lang w:val="uk-UA" w:eastAsia="uk-UA"/>
        </w:rPr>
        <w:t>п’єзорезонатора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 як перетворювача фізичних величин визначається можливістю варіювати в широких межах його властивості і вибірковість реакцій на дії різної фізичної природи. Великі ресурси для управління властивостями перетворювача закладені в анізотропії </w:t>
      </w:r>
      <w:proofErr w:type="spellStart"/>
      <w:r w:rsidRPr="00260F36">
        <w:rPr>
          <w:rFonts w:ascii="Times New Roman" w:hAnsi="Times New Roman"/>
          <w:sz w:val="28"/>
          <w:szCs w:val="28"/>
          <w:lang w:val="uk-UA" w:eastAsia="uk-UA"/>
        </w:rPr>
        <w:t>п’єзоелектриків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 і різноманітті типів коливань вібратора. Використання вказаних чинників створює передумови до застосування ПРД для вирішення широкого круга завдань, тому розробка нових типів вимірювальних перетворювачів на базі ПРД є актуальною задачею у вимірювальній техніці.</w:t>
      </w:r>
    </w:p>
    <w:p w:rsidR="002816C4" w:rsidRPr="00260F36" w:rsidRDefault="002816C4" w:rsidP="002816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На відміну від традиційних </w:t>
      </w:r>
      <w:proofErr w:type="spellStart"/>
      <w:r w:rsidRPr="00260F36">
        <w:rPr>
          <w:rFonts w:ascii="Times New Roman" w:hAnsi="Times New Roman"/>
          <w:sz w:val="28"/>
          <w:szCs w:val="28"/>
          <w:lang w:val="uk-UA" w:eastAsia="uk-UA"/>
        </w:rPr>
        <w:t>п'єзодатчиків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 генераторного типу, що працюють на основі прямого п'єзоефекту, </w:t>
      </w:r>
      <w:proofErr w:type="spellStart"/>
      <w:r w:rsidRPr="00260F36">
        <w:rPr>
          <w:rFonts w:ascii="Times New Roman" w:hAnsi="Times New Roman"/>
          <w:sz w:val="28"/>
          <w:szCs w:val="28"/>
          <w:lang w:val="uk-UA" w:eastAsia="uk-UA"/>
        </w:rPr>
        <w:t>п’єзорезонансні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 є датчиками параметричного типу, в яких перетворення вхідної дії здійснюється в результаті модуляції параметрів </w:t>
      </w:r>
      <w:proofErr w:type="spellStart"/>
      <w:r w:rsidRPr="00260F36">
        <w:rPr>
          <w:rFonts w:ascii="Times New Roman" w:hAnsi="Times New Roman"/>
          <w:sz w:val="28"/>
          <w:szCs w:val="28"/>
          <w:lang w:val="uk-UA" w:eastAsia="uk-UA"/>
        </w:rPr>
        <w:t>п'єзорезонатора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816C4" w:rsidRPr="00260F36" w:rsidRDefault="002816C4" w:rsidP="002816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 w:eastAsia="uk-UA"/>
        </w:rPr>
        <w:t>Згідно класифікації [1], всі різновиди ПРД за типом ефекту або механізму, відповідального за модуляцію параметрів резонаторів, можуть бути віднесені до однієї з наступних груп.</w:t>
      </w:r>
    </w:p>
    <w:p w:rsidR="002816C4" w:rsidRPr="00260F36" w:rsidRDefault="002816C4" w:rsidP="002816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1. ПРД на основі чутливості до полів різної фізичної природи (ПРД на основі </w:t>
      </w:r>
      <w:proofErr w:type="spellStart"/>
      <w:r w:rsidRPr="00260F36">
        <w:rPr>
          <w:rFonts w:ascii="Times New Roman" w:hAnsi="Times New Roman"/>
          <w:sz w:val="28"/>
          <w:szCs w:val="28"/>
          <w:lang w:val="uk-UA" w:eastAsia="uk-UA"/>
        </w:rPr>
        <w:t>тензочутливих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260F36">
        <w:rPr>
          <w:rFonts w:ascii="Times New Roman" w:hAnsi="Times New Roman"/>
          <w:sz w:val="28"/>
          <w:szCs w:val="28"/>
          <w:lang w:val="uk-UA" w:eastAsia="uk-UA"/>
        </w:rPr>
        <w:t>п'єзорезонаторів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, ПРД на основі </w:t>
      </w:r>
      <w:proofErr w:type="spellStart"/>
      <w:r w:rsidRPr="00260F36">
        <w:rPr>
          <w:rFonts w:ascii="Times New Roman" w:hAnsi="Times New Roman"/>
          <w:sz w:val="28"/>
          <w:szCs w:val="28"/>
          <w:lang w:val="uk-UA" w:eastAsia="uk-UA"/>
        </w:rPr>
        <w:t>термочутливих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260F36">
        <w:rPr>
          <w:rFonts w:ascii="Times New Roman" w:hAnsi="Times New Roman"/>
          <w:sz w:val="28"/>
          <w:szCs w:val="28"/>
          <w:lang w:val="uk-UA" w:eastAsia="uk-UA"/>
        </w:rPr>
        <w:t>п'єзорезонаторів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, ПРД на основі </w:t>
      </w:r>
      <w:proofErr w:type="spellStart"/>
      <w:r w:rsidRPr="00260F36">
        <w:rPr>
          <w:rFonts w:ascii="Times New Roman" w:hAnsi="Times New Roman"/>
          <w:sz w:val="28"/>
          <w:szCs w:val="28"/>
          <w:lang w:val="uk-UA" w:eastAsia="uk-UA"/>
        </w:rPr>
        <w:t>п'єзорезонаторів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, чутливих до акустичного навантаження, ПРД на основі </w:t>
      </w:r>
      <w:proofErr w:type="spellStart"/>
      <w:r w:rsidRPr="00260F36">
        <w:rPr>
          <w:rFonts w:ascii="Times New Roman" w:hAnsi="Times New Roman"/>
          <w:sz w:val="28"/>
          <w:szCs w:val="28"/>
          <w:lang w:val="uk-UA" w:eastAsia="uk-UA"/>
        </w:rPr>
        <w:t>вагачутливих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 ПР). </w:t>
      </w:r>
    </w:p>
    <w:p w:rsidR="002816C4" w:rsidRPr="00260F36" w:rsidRDefault="002816C4" w:rsidP="002816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 w:eastAsia="uk-UA"/>
        </w:rPr>
        <w:t>2. ПРД на основі чутливості до варіацій геометрія приладу, в якій еквівалентні параметри резонаторів міняються при взаємному зсуві елементів конструкції ПР, наприклад при зміні зазору між електродом і вібратором.</w:t>
      </w:r>
    </w:p>
    <w:p w:rsidR="002816C4" w:rsidRPr="00260F36" w:rsidRDefault="002816C4" w:rsidP="002816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3. ПРД на основі </w:t>
      </w:r>
      <w:proofErr w:type="spellStart"/>
      <w:r w:rsidRPr="00260F36">
        <w:rPr>
          <w:rFonts w:ascii="Times New Roman" w:hAnsi="Times New Roman"/>
          <w:sz w:val="28"/>
          <w:szCs w:val="28"/>
          <w:lang w:val="uk-UA" w:eastAsia="uk-UA"/>
        </w:rPr>
        <w:t>гірочутливих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260F36">
        <w:rPr>
          <w:rFonts w:ascii="Times New Roman" w:hAnsi="Times New Roman"/>
          <w:sz w:val="28"/>
          <w:szCs w:val="28"/>
          <w:lang w:val="uk-UA" w:eastAsia="uk-UA"/>
        </w:rPr>
        <w:t>п’єзоперетворювачів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uk-UA"/>
        </w:rPr>
        <w:t>. У цих пристроях вимірюваною дією є частота обертання.</w:t>
      </w:r>
    </w:p>
    <w:p w:rsidR="002816C4" w:rsidRPr="00260F36" w:rsidRDefault="002816C4" w:rsidP="002816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В дійсний час більшість ПРД побудована на основі </w:t>
      </w:r>
      <w:proofErr w:type="spellStart"/>
      <w:r w:rsidRPr="00260F36">
        <w:rPr>
          <w:rFonts w:ascii="Times New Roman" w:hAnsi="Times New Roman"/>
          <w:sz w:val="28"/>
          <w:szCs w:val="28"/>
          <w:lang w:val="uk-UA" w:eastAsia="uk-UA"/>
        </w:rPr>
        <w:t>термочутливості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 та сило чутливості </w:t>
      </w:r>
      <w:proofErr w:type="spellStart"/>
      <w:r w:rsidRPr="00260F36">
        <w:rPr>
          <w:rFonts w:ascii="Times New Roman" w:hAnsi="Times New Roman"/>
          <w:sz w:val="28"/>
          <w:szCs w:val="28"/>
          <w:lang w:val="uk-UA" w:eastAsia="uk-UA"/>
        </w:rPr>
        <w:t>п’єзорезонансних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 систем. Датчики, в яких  змінюється зазор між електродом і вібратором є менш розповсюджені, розробці таких пристроїв приділяється недостатня увага, хоча використання таких ПРД для вимірювання переміщень та тиску є перспективним.</w:t>
      </w:r>
    </w:p>
    <w:p w:rsidR="002816C4" w:rsidRPr="00260F36" w:rsidRDefault="002816C4" w:rsidP="002816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У представленій роботі запропоновані співвідношення для визначення </w:t>
      </w:r>
      <w:proofErr w:type="spellStart"/>
      <w:r w:rsidRPr="00260F36">
        <w:rPr>
          <w:rFonts w:ascii="Times New Roman" w:hAnsi="Times New Roman"/>
          <w:sz w:val="28"/>
          <w:szCs w:val="28"/>
          <w:lang w:val="uk-UA" w:eastAsia="uk-UA"/>
        </w:rPr>
        <w:t>градуювальної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 характеристики ПРД </w:t>
      </w:r>
      <w:proofErr w:type="spellStart"/>
      <w:r w:rsidRPr="00260F36">
        <w:rPr>
          <w:rFonts w:ascii="Times New Roman" w:hAnsi="Times New Roman"/>
          <w:sz w:val="28"/>
          <w:szCs w:val="28"/>
          <w:lang w:val="uk-UA" w:eastAsia="uk-UA"/>
        </w:rPr>
        <w:t>мікропереміщень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 для величини вимірюваних переміщень у межах (1…200) мкм.</w:t>
      </w:r>
    </w:p>
    <w:p w:rsidR="002816C4" w:rsidRPr="00260F36" w:rsidRDefault="002816C4" w:rsidP="002816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 xml:space="preserve">В роботі </w:t>
      </w:r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[2] визначені основні співвідношення електричної еквівалентної схеми </w:t>
      </w:r>
      <w:proofErr w:type="spellStart"/>
      <w:r w:rsidRPr="00260F36">
        <w:rPr>
          <w:rFonts w:ascii="Times New Roman" w:hAnsi="Times New Roman"/>
          <w:sz w:val="28"/>
          <w:szCs w:val="28"/>
          <w:lang w:val="uk-UA" w:eastAsia="uk-UA"/>
        </w:rPr>
        <w:t>п’єзорезонансної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 системи (ПРС) з зазором між електродом і п’єзокристалом. Подальше продовження ці співвідношення отримали в роботі [3], де зокрема визначена </w:t>
      </w:r>
      <w:proofErr w:type="spellStart"/>
      <w:r w:rsidRPr="00260F36">
        <w:rPr>
          <w:rFonts w:ascii="Times New Roman" w:hAnsi="Times New Roman"/>
          <w:sz w:val="28"/>
          <w:szCs w:val="28"/>
          <w:lang w:val="uk-UA" w:eastAsia="uk-UA"/>
        </w:rPr>
        <w:t>градуювальна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 характеристика ПРД з зазором:  </w:t>
      </w:r>
    </w:p>
    <w:p w:rsidR="002816C4" w:rsidRPr="00260F36" w:rsidRDefault="002816C4" w:rsidP="002816C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eastAsia="Times New Roman" w:hAnsi="Times New Roman"/>
          <w:position w:val="-70"/>
          <w:sz w:val="28"/>
          <w:szCs w:val="28"/>
          <w:lang w:val="uk-UA"/>
        </w:rPr>
        <w:object w:dxaOrig="530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15pt;height:59.7pt">
            <v:imagedata r:id="rId5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/>
        </w:rPr>
        <w:t>,                             (1)</w:t>
      </w:r>
    </w:p>
    <w:p w:rsidR="002816C4" w:rsidRPr="00260F36" w:rsidRDefault="002816C4" w:rsidP="002816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lastRenderedPageBreak/>
        <w:t xml:space="preserve">де </w:t>
      </w:r>
      <w:r w:rsidRPr="00260F36">
        <w:rPr>
          <w:rFonts w:ascii="Times New Roman" w:eastAsia="Times New Roman" w:hAnsi="Times New Roman"/>
          <w:position w:val="-12"/>
          <w:sz w:val="28"/>
          <w:szCs w:val="28"/>
          <w:lang w:val="uk-UA"/>
        </w:rPr>
        <w:object w:dxaOrig="620" w:dyaOrig="360">
          <v:shape id="_x0000_i1026" type="#_x0000_t75" style="width:30.75pt;height:18.45pt">
            <v:imagedata r:id="rId6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/>
        </w:rPr>
        <w:t xml:space="preserve"> - резонансна частота ПРД при наявності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міжелектродного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зазору </w:t>
      </w:r>
      <w:r w:rsidRPr="00260F36">
        <w:rPr>
          <w:rFonts w:ascii="Times New Roman" w:hAnsi="Times New Roman"/>
          <w:i/>
          <w:sz w:val="28"/>
          <w:szCs w:val="28"/>
          <w:lang w:val="uk-UA"/>
        </w:rPr>
        <w:t>х</w:t>
      </w:r>
      <w:r w:rsidRPr="00260F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60F36">
        <w:rPr>
          <w:rFonts w:ascii="Times New Roman" w:eastAsia="Times New Roman" w:hAnsi="Times New Roman"/>
          <w:position w:val="-12"/>
          <w:sz w:val="28"/>
          <w:szCs w:val="28"/>
          <w:lang w:val="uk-UA"/>
        </w:rPr>
        <w:object w:dxaOrig="340" w:dyaOrig="380">
          <v:shape id="_x0000_i1027" type="#_x0000_t75" style="width:17.55pt;height:18.45pt">
            <v:imagedata r:id="rId7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/>
        </w:rPr>
        <w:t xml:space="preserve"> - базова резонансна частота ПРС при відсутності зазору, </w:t>
      </w:r>
      <w:r w:rsidRPr="00260F36">
        <w:rPr>
          <w:rFonts w:ascii="Times New Roman" w:hAnsi="Times New Roman"/>
          <w:i/>
          <w:sz w:val="28"/>
          <w:szCs w:val="28"/>
          <w:lang w:val="uk-UA"/>
        </w:rPr>
        <w:t>т</w:t>
      </w:r>
      <w:r w:rsidRPr="00260F36">
        <w:rPr>
          <w:rFonts w:ascii="Times New Roman" w:hAnsi="Times New Roman"/>
          <w:sz w:val="28"/>
          <w:szCs w:val="28"/>
          <w:lang w:val="uk-UA"/>
        </w:rPr>
        <w:t xml:space="preserve"> -  ємкісне відношення ПРС, </w:t>
      </w:r>
      <w:r w:rsidRPr="00260F36">
        <w:rPr>
          <w:rFonts w:ascii="Times New Roman" w:eastAsia="Times New Roman" w:hAnsi="Times New Roman"/>
          <w:position w:val="-12"/>
          <w:sz w:val="28"/>
          <w:szCs w:val="28"/>
          <w:lang w:val="uk-UA"/>
        </w:rPr>
        <w:object w:dxaOrig="480" w:dyaOrig="380">
          <v:shape id="_x0000_i1028" type="#_x0000_t75" style="width:23.7pt;height:18.45pt">
            <v:imagedata r:id="rId8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/>
        </w:rPr>
        <w:t xml:space="preserve"> - відносна діелектрична проникливість п’єзокристалу, </w:t>
      </w:r>
      <w:r w:rsidRPr="00260F36">
        <w:rPr>
          <w:rFonts w:ascii="Times New Roman" w:eastAsia="Times New Roman" w:hAnsi="Times New Roman"/>
          <w:position w:val="-6"/>
          <w:sz w:val="28"/>
          <w:szCs w:val="28"/>
          <w:lang w:val="uk-UA"/>
        </w:rPr>
        <w:object w:dxaOrig="220" w:dyaOrig="300">
          <v:shape id="_x0000_i1029" type="#_x0000_t75" style="width:11.4pt;height:14.95pt">
            <v:imagedata r:id="rId9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/>
        </w:rPr>
        <w:t xml:space="preserve"> - товщина п’єзокристалу.   </w:t>
      </w:r>
    </w:p>
    <w:p w:rsidR="002816C4" w:rsidRPr="00260F36" w:rsidRDefault="002816C4" w:rsidP="002816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 xml:space="preserve">В запропонованому співвідношенні вважається, що при наявності зазору </w:t>
      </w:r>
      <w:r w:rsidRPr="00260F36">
        <w:rPr>
          <w:rFonts w:ascii="Times New Roman" w:hAnsi="Times New Roman"/>
          <w:i/>
          <w:sz w:val="28"/>
          <w:szCs w:val="28"/>
          <w:lang w:val="uk-UA"/>
        </w:rPr>
        <w:t>х</w:t>
      </w:r>
      <w:r w:rsidRPr="00260F36">
        <w:rPr>
          <w:rFonts w:ascii="Times New Roman" w:hAnsi="Times New Roman"/>
          <w:sz w:val="28"/>
          <w:szCs w:val="28"/>
          <w:lang w:val="uk-UA"/>
        </w:rPr>
        <w:t xml:space="preserve"> ємкісне відношення </w:t>
      </w:r>
      <w:r w:rsidRPr="00260F36">
        <w:rPr>
          <w:rFonts w:ascii="Times New Roman" w:hAnsi="Times New Roman"/>
          <w:i/>
          <w:sz w:val="28"/>
          <w:szCs w:val="28"/>
          <w:lang w:val="uk-UA"/>
        </w:rPr>
        <w:t>т</w:t>
      </w:r>
      <w:r w:rsidRPr="00260F36">
        <w:rPr>
          <w:rFonts w:ascii="Times New Roman" w:hAnsi="Times New Roman"/>
          <w:sz w:val="28"/>
          <w:szCs w:val="28"/>
          <w:lang w:val="uk-UA"/>
        </w:rPr>
        <w:t xml:space="preserve"> є незмінним, або його зміна є незначною. </w:t>
      </w:r>
    </w:p>
    <w:p w:rsidR="002816C4" w:rsidRPr="00260F36" w:rsidRDefault="002816C4" w:rsidP="002816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 xml:space="preserve">В роботі </w:t>
      </w:r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[4] визначені основні параметри електричної еквівалентної схеми ПРС, на підставі чого можливо врахувати зміни величин статичної та динамічної ємкості ПРС та отримати уточнену </w:t>
      </w:r>
      <w:proofErr w:type="spellStart"/>
      <w:r w:rsidRPr="00260F36">
        <w:rPr>
          <w:rFonts w:ascii="Times New Roman" w:hAnsi="Times New Roman"/>
          <w:sz w:val="28"/>
          <w:szCs w:val="28"/>
          <w:lang w:val="uk-UA" w:eastAsia="uk-UA"/>
        </w:rPr>
        <w:t>градуювальну</w:t>
      </w:r>
      <w:proofErr w:type="spellEnd"/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 характеристику ПРД:</w:t>
      </w:r>
    </w:p>
    <w:p w:rsidR="002816C4" w:rsidRPr="00260F36" w:rsidRDefault="002816C4" w:rsidP="002816C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260F36">
        <w:rPr>
          <w:rFonts w:ascii="Times New Roman" w:eastAsia="Times New Roman" w:hAnsi="Times New Roman"/>
          <w:position w:val="-68"/>
          <w:sz w:val="28"/>
          <w:szCs w:val="28"/>
          <w:lang w:val="uk-UA"/>
        </w:rPr>
        <w:object w:dxaOrig="6420" w:dyaOrig="1500">
          <v:shape id="_x0000_i1030" type="#_x0000_t75" style="width:321.35pt;height:74.65pt">
            <v:imagedata r:id="rId10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/>
        </w:rPr>
        <w:t>,               (2)</w:t>
      </w:r>
    </w:p>
    <w:p w:rsidR="002816C4" w:rsidRPr="00260F36" w:rsidRDefault="002816C4" w:rsidP="002816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де </w:t>
      </w:r>
      <w:r w:rsidRPr="00260F36">
        <w:rPr>
          <w:rFonts w:ascii="Times New Roman" w:eastAsia="Times New Roman" w:hAnsi="Times New Roman"/>
          <w:position w:val="-18"/>
          <w:sz w:val="28"/>
          <w:szCs w:val="28"/>
          <w:lang w:val="uk-UA" w:eastAsia="uk-UA"/>
        </w:rPr>
        <w:object w:dxaOrig="1919" w:dyaOrig="500">
          <v:shape id="_x0000_i1031" type="#_x0000_t75" style="width:95.7pt;height:24.6pt">
            <v:imagedata r:id="rId11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260F36">
        <w:rPr>
          <w:rFonts w:ascii="Times New Roman" w:eastAsia="Times New Roman" w:hAnsi="Times New Roman"/>
          <w:position w:val="-32"/>
          <w:sz w:val="28"/>
          <w:szCs w:val="28"/>
          <w:lang w:val="uk-UA" w:eastAsia="uk-UA"/>
        </w:rPr>
        <w:object w:dxaOrig="1160" w:dyaOrig="760">
          <v:shape id="_x0000_i1032" type="#_x0000_t75" style="width:57.95pt;height:38.65pt">
            <v:imagedata r:id="rId12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260F36">
        <w:rPr>
          <w:rFonts w:ascii="Times New Roman" w:eastAsia="Times New Roman" w:hAnsi="Times New Roman"/>
          <w:position w:val="-28"/>
          <w:sz w:val="28"/>
          <w:szCs w:val="28"/>
          <w:lang w:val="uk-UA" w:eastAsia="uk-UA"/>
        </w:rPr>
        <w:object w:dxaOrig="1359" w:dyaOrig="760">
          <v:shape id="_x0000_i1033" type="#_x0000_t75" style="width:68.5pt;height:38.65pt">
            <v:imagedata r:id="rId13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260F36">
        <w:rPr>
          <w:rFonts w:ascii="Times New Roman" w:eastAsia="Times New Roman" w:hAnsi="Times New Roman"/>
          <w:position w:val="-12"/>
          <w:sz w:val="28"/>
          <w:szCs w:val="28"/>
          <w:lang w:val="uk-UA" w:eastAsia="uk-UA"/>
        </w:rPr>
        <w:object w:dxaOrig="400" w:dyaOrig="420">
          <v:shape id="_x0000_i1034" type="#_x0000_t75" style="width:20.2pt;height:21.05pt">
            <v:imagedata r:id="rId14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 - коефіцієнт електромеханічного зв'язку </w:t>
      </w:r>
      <w:r w:rsidRPr="00260F36">
        <w:rPr>
          <w:rFonts w:ascii="Times New Roman" w:hAnsi="Times New Roman"/>
          <w:snapToGrid w:val="0"/>
          <w:sz w:val="28"/>
          <w:szCs w:val="28"/>
          <w:lang w:val="uk-UA" w:eastAsia="uk-UA"/>
        </w:rPr>
        <w:t>п'єзокристалу</w:t>
      </w:r>
      <w:r w:rsidRPr="00260F3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260F36">
        <w:rPr>
          <w:rFonts w:ascii="Times New Roman" w:eastAsia="Times New Roman" w:hAnsi="Times New Roman"/>
          <w:position w:val="-12"/>
          <w:sz w:val="28"/>
          <w:szCs w:val="28"/>
          <w:lang w:val="uk-UA"/>
        </w:rPr>
        <w:object w:dxaOrig="400" w:dyaOrig="380">
          <v:shape id="_x0000_i1035" type="#_x0000_t75" style="width:20.2pt;height:18.45pt">
            <v:imagedata r:id="rId15" o:title=""/>
          </v:shape>
        </w:object>
      </w:r>
      <w:r w:rsidRPr="00260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0F36">
        <w:rPr>
          <w:rFonts w:ascii="Times New Roman" w:hAnsi="Times New Roman"/>
          <w:i/>
          <w:iCs/>
          <w:snapToGrid w:val="0"/>
          <w:sz w:val="28"/>
          <w:szCs w:val="28"/>
          <w:lang w:val="uk-UA" w:eastAsia="uk-UA"/>
        </w:rPr>
        <w:t xml:space="preserve">- </w:t>
      </w:r>
      <w:r w:rsidRPr="00260F36">
        <w:rPr>
          <w:rFonts w:ascii="Times New Roman" w:hAnsi="Times New Roman"/>
          <w:snapToGrid w:val="0"/>
          <w:sz w:val="28"/>
          <w:szCs w:val="28"/>
          <w:lang w:val="uk-UA" w:eastAsia="uk-UA"/>
        </w:rPr>
        <w:t>діелектрична постійна п'єзокристалу.</w:t>
      </w:r>
    </w:p>
    <w:p w:rsidR="002816C4" w:rsidRPr="00260F36" w:rsidRDefault="002816C4" w:rsidP="002816C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816C4" w:rsidRPr="00260F36" w:rsidRDefault="002816C4" w:rsidP="002816C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  <w:lang w:val="uk-UA"/>
        </w:rPr>
      </w:pPr>
      <w:r w:rsidRPr="00260F36">
        <w:rPr>
          <w:rFonts w:ascii="Times New Roman" w:hAnsi="Times New Roman"/>
          <w:sz w:val="24"/>
          <w:szCs w:val="28"/>
          <w:lang w:val="uk-UA"/>
        </w:rPr>
        <w:t>Література</w:t>
      </w:r>
    </w:p>
    <w:p w:rsidR="002816C4" w:rsidRPr="00260F36" w:rsidRDefault="002816C4" w:rsidP="002816C4">
      <w:pPr>
        <w:widowControl w:val="0"/>
        <w:numPr>
          <w:ilvl w:val="0"/>
          <w:numId w:val="1"/>
        </w:numPr>
        <w:tabs>
          <w:tab w:val="num" w:pos="8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 xml:space="preserve">Малов В.В. </w:t>
      </w:r>
      <w:proofErr w:type="spellStart"/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Пьезорезонансные</w:t>
      </w:r>
      <w:proofErr w:type="spellEnd"/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 xml:space="preserve"> датчики. / В.В. Малов. – 2-е изд., </w:t>
      </w:r>
      <w:proofErr w:type="spellStart"/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перераб</w:t>
      </w:r>
      <w:proofErr w:type="spellEnd"/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. и доп. – М.</w:t>
      </w:r>
      <w:proofErr w:type="gramStart"/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 xml:space="preserve"> :</w:t>
      </w:r>
      <w:proofErr w:type="gramEnd"/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 xml:space="preserve"> </w:t>
      </w:r>
      <w:proofErr w:type="spellStart"/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Энергоатомиздат</w:t>
      </w:r>
      <w:proofErr w:type="spellEnd"/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, 1989. – 272 с.</w:t>
      </w:r>
    </w:p>
    <w:p w:rsidR="002816C4" w:rsidRPr="00260F36" w:rsidRDefault="002816C4" w:rsidP="002816C4">
      <w:pPr>
        <w:widowControl w:val="0"/>
        <w:numPr>
          <w:ilvl w:val="0"/>
          <w:numId w:val="1"/>
        </w:numPr>
        <w:tabs>
          <w:tab w:val="num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260F36">
        <w:rPr>
          <w:rFonts w:ascii="Times New Roman" w:hAnsi="Times New Roman"/>
          <w:sz w:val="24"/>
          <w:szCs w:val="28"/>
        </w:rPr>
        <w:t>Горошковский</w:t>
      </w:r>
      <w:proofErr w:type="spellEnd"/>
      <w:r w:rsidRPr="00260F36">
        <w:rPr>
          <w:rFonts w:ascii="Times New Roman" w:hAnsi="Times New Roman"/>
          <w:sz w:val="24"/>
          <w:szCs w:val="28"/>
        </w:rPr>
        <w:t xml:space="preserve"> Я. Генерирование высокочастотных колебаний и стабилизация частоты. Перевод с </w:t>
      </w:r>
      <w:proofErr w:type="gramStart"/>
      <w:r w:rsidRPr="00260F36">
        <w:rPr>
          <w:rFonts w:ascii="Times New Roman" w:hAnsi="Times New Roman"/>
          <w:sz w:val="24"/>
          <w:szCs w:val="28"/>
        </w:rPr>
        <w:t>польского</w:t>
      </w:r>
      <w:proofErr w:type="gramEnd"/>
      <w:r w:rsidRPr="00260F36">
        <w:rPr>
          <w:rFonts w:ascii="Times New Roman" w:hAnsi="Times New Roman"/>
          <w:sz w:val="24"/>
          <w:szCs w:val="28"/>
        </w:rPr>
        <w:t xml:space="preserve">. / Я. </w:t>
      </w:r>
      <w:proofErr w:type="spellStart"/>
      <w:r w:rsidRPr="00260F36">
        <w:rPr>
          <w:rFonts w:ascii="Times New Roman" w:hAnsi="Times New Roman"/>
          <w:sz w:val="24"/>
          <w:szCs w:val="28"/>
        </w:rPr>
        <w:t>Горошковский</w:t>
      </w:r>
      <w:proofErr w:type="spellEnd"/>
      <w:r w:rsidRPr="00260F36">
        <w:rPr>
          <w:rFonts w:ascii="Times New Roman" w:hAnsi="Times New Roman"/>
          <w:sz w:val="24"/>
          <w:szCs w:val="28"/>
        </w:rPr>
        <w:t xml:space="preserve">: М.: Издательство </w:t>
      </w:r>
      <w:proofErr w:type="gramStart"/>
      <w:r w:rsidRPr="00260F36">
        <w:rPr>
          <w:rFonts w:ascii="Times New Roman" w:hAnsi="Times New Roman"/>
          <w:sz w:val="24"/>
          <w:szCs w:val="28"/>
        </w:rPr>
        <w:t>иностранной</w:t>
      </w:r>
      <w:proofErr w:type="gramEnd"/>
      <w:r w:rsidRPr="00260F36">
        <w:rPr>
          <w:rFonts w:ascii="Times New Roman" w:hAnsi="Times New Roman"/>
          <w:sz w:val="24"/>
          <w:szCs w:val="28"/>
        </w:rPr>
        <w:t xml:space="preserve"> литературы, 1953. – 363 с.</w:t>
      </w:r>
    </w:p>
    <w:p w:rsidR="002816C4" w:rsidRPr="00260F36" w:rsidRDefault="002816C4" w:rsidP="002816C4">
      <w:pPr>
        <w:widowControl w:val="0"/>
        <w:numPr>
          <w:ilvl w:val="0"/>
          <w:numId w:val="1"/>
        </w:numPr>
        <w:tabs>
          <w:tab w:val="num" w:pos="84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8"/>
          <w:lang w:val="uk-UA"/>
        </w:rPr>
      </w:pPr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 xml:space="preserve">Колпаков Ф.Ф. </w:t>
      </w:r>
      <w:proofErr w:type="spellStart"/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Пьезорезонансные</w:t>
      </w:r>
      <w:proofErr w:type="spellEnd"/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 xml:space="preserve"> механотроны в измерениях параметров </w:t>
      </w:r>
      <w:proofErr w:type="spellStart"/>
      <w:proofErr w:type="gramStart"/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сердечно-сосудистой</w:t>
      </w:r>
      <w:proofErr w:type="spellEnd"/>
      <w:proofErr w:type="gramEnd"/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 xml:space="preserve"> системы человека / Ф.Ф. Колпаков, С.К. </w:t>
      </w:r>
      <w:proofErr w:type="spellStart"/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Пидченко</w:t>
      </w:r>
      <w:proofErr w:type="spellEnd"/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, А.А. </w:t>
      </w:r>
      <w:proofErr w:type="spellStart"/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Таранчук</w:t>
      </w:r>
      <w:proofErr w:type="spellEnd"/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 xml:space="preserve">, </w:t>
      </w:r>
      <w:r w:rsidRPr="00260F36">
        <w:rPr>
          <w:rFonts w:ascii="Times New Roman" w:hAnsi="Times New Roman"/>
          <w:spacing w:val="-6"/>
          <w:sz w:val="24"/>
          <w:szCs w:val="28"/>
        </w:rPr>
        <w:t>А.Е. </w:t>
      </w:r>
      <w:proofErr w:type="spellStart"/>
      <w:r w:rsidRPr="00260F36">
        <w:rPr>
          <w:rFonts w:ascii="Times New Roman" w:hAnsi="Times New Roman"/>
          <w:spacing w:val="-6"/>
          <w:sz w:val="24"/>
          <w:szCs w:val="28"/>
        </w:rPr>
        <w:t>Опольская</w:t>
      </w:r>
      <w:proofErr w:type="spellEnd"/>
      <w:r w:rsidRPr="00260F36">
        <w:rPr>
          <w:rFonts w:ascii="Times New Roman" w:hAnsi="Times New Roman"/>
          <w:spacing w:val="-6"/>
          <w:sz w:val="24"/>
          <w:szCs w:val="28"/>
        </w:rPr>
        <w:t xml:space="preserve"> // </w:t>
      </w:r>
      <w:r w:rsidRPr="00260F36">
        <w:rPr>
          <w:rFonts w:ascii="Times New Roman" w:hAnsi="Times New Roman"/>
          <w:spacing w:val="-6"/>
          <w:sz w:val="24"/>
          <w:szCs w:val="28"/>
          <w:lang w:val="uk-UA"/>
        </w:rPr>
        <w:t xml:space="preserve">Радіоелектронні і комп’ютерні </w:t>
      </w:r>
      <w:proofErr w:type="spellStart"/>
      <w:r w:rsidRPr="00260F36">
        <w:rPr>
          <w:rFonts w:ascii="Times New Roman" w:hAnsi="Times New Roman"/>
          <w:spacing w:val="-6"/>
          <w:sz w:val="24"/>
          <w:szCs w:val="28"/>
        </w:rPr>
        <w:t>системи</w:t>
      </w:r>
      <w:proofErr w:type="spellEnd"/>
      <w:r w:rsidRPr="00260F36">
        <w:rPr>
          <w:rFonts w:ascii="Times New Roman" w:hAnsi="Times New Roman"/>
          <w:spacing w:val="-6"/>
          <w:sz w:val="24"/>
          <w:szCs w:val="28"/>
          <w:lang w:val="uk-UA"/>
        </w:rPr>
        <w:t xml:space="preserve">. – </w:t>
      </w:r>
      <w:r w:rsidRPr="00260F36">
        <w:rPr>
          <w:rFonts w:ascii="Times New Roman" w:hAnsi="Times New Roman"/>
          <w:spacing w:val="-6"/>
          <w:sz w:val="24"/>
          <w:szCs w:val="28"/>
        </w:rPr>
        <w:t>Х</w:t>
      </w:r>
      <w:r w:rsidRPr="00260F36">
        <w:rPr>
          <w:rFonts w:ascii="Times New Roman" w:hAnsi="Times New Roman"/>
          <w:spacing w:val="-6"/>
          <w:sz w:val="24"/>
          <w:szCs w:val="28"/>
          <w:lang w:val="uk-UA"/>
        </w:rPr>
        <w:t>.</w:t>
      </w:r>
      <w:proofErr w:type="gramStart"/>
      <w:r w:rsidRPr="00260F36">
        <w:rPr>
          <w:rFonts w:ascii="Times New Roman" w:hAnsi="Times New Roman"/>
          <w:spacing w:val="-6"/>
          <w:sz w:val="24"/>
          <w:szCs w:val="28"/>
          <w:lang w:val="uk-UA"/>
        </w:rPr>
        <w:t xml:space="preserve"> :</w:t>
      </w:r>
      <w:proofErr w:type="gramEnd"/>
      <w:r w:rsidRPr="00260F36">
        <w:rPr>
          <w:rFonts w:ascii="Times New Roman" w:hAnsi="Times New Roman"/>
          <w:spacing w:val="-6"/>
          <w:sz w:val="24"/>
          <w:szCs w:val="28"/>
          <w:lang w:val="uk-UA"/>
        </w:rPr>
        <w:t xml:space="preserve"> </w:t>
      </w:r>
      <w:proofErr w:type="spellStart"/>
      <w:r w:rsidRPr="00260F36">
        <w:rPr>
          <w:rFonts w:ascii="Times New Roman" w:hAnsi="Times New Roman"/>
          <w:spacing w:val="-6"/>
          <w:sz w:val="24"/>
          <w:szCs w:val="28"/>
        </w:rPr>
        <w:t>Нац</w:t>
      </w:r>
      <w:proofErr w:type="spellEnd"/>
      <w:r w:rsidRPr="00260F36">
        <w:rPr>
          <w:rFonts w:ascii="Times New Roman" w:hAnsi="Times New Roman"/>
          <w:spacing w:val="-6"/>
          <w:sz w:val="24"/>
          <w:szCs w:val="28"/>
          <w:lang w:val="uk-UA"/>
        </w:rPr>
        <w:t xml:space="preserve">. </w:t>
      </w:r>
      <w:proofErr w:type="spellStart"/>
      <w:r w:rsidRPr="00260F36">
        <w:rPr>
          <w:rFonts w:ascii="Times New Roman" w:hAnsi="Times New Roman"/>
          <w:spacing w:val="-6"/>
          <w:sz w:val="24"/>
          <w:szCs w:val="28"/>
        </w:rPr>
        <w:t>аерокосм</w:t>
      </w:r>
      <w:proofErr w:type="spellEnd"/>
      <w:r w:rsidRPr="00260F36">
        <w:rPr>
          <w:rFonts w:ascii="Times New Roman" w:hAnsi="Times New Roman"/>
          <w:spacing w:val="-6"/>
          <w:sz w:val="24"/>
          <w:szCs w:val="28"/>
          <w:lang w:val="uk-UA"/>
        </w:rPr>
        <w:t xml:space="preserve">. </w:t>
      </w:r>
      <w:proofErr w:type="spellStart"/>
      <w:r w:rsidRPr="00260F36">
        <w:rPr>
          <w:rFonts w:ascii="Times New Roman" w:hAnsi="Times New Roman"/>
          <w:spacing w:val="-6"/>
          <w:sz w:val="24"/>
          <w:szCs w:val="28"/>
        </w:rPr>
        <w:t>ун</w:t>
      </w:r>
      <w:proofErr w:type="spellEnd"/>
      <w:r w:rsidRPr="00260F36">
        <w:rPr>
          <w:rFonts w:ascii="Times New Roman" w:hAnsi="Times New Roman"/>
          <w:spacing w:val="-6"/>
          <w:sz w:val="24"/>
          <w:szCs w:val="28"/>
          <w:lang w:val="uk-UA"/>
        </w:rPr>
        <w:t>-</w:t>
      </w:r>
      <w:r w:rsidRPr="00260F36">
        <w:rPr>
          <w:rFonts w:ascii="Times New Roman" w:hAnsi="Times New Roman"/>
          <w:spacing w:val="-6"/>
          <w:sz w:val="24"/>
          <w:szCs w:val="28"/>
        </w:rPr>
        <w:t>т</w:t>
      </w:r>
      <w:r w:rsidRPr="00260F36">
        <w:rPr>
          <w:rFonts w:ascii="Times New Roman" w:hAnsi="Times New Roman"/>
          <w:spacing w:val="-6"/>
          <w:sz w:val="24"/>
          <w:szCs w:val="28"/>
          <w:lang w:val="uk-UA"/>
        </w:rPr>
        <w:t xml:space="preserve"> ім. </w:t>
      </w:r>
      <w:r w:rsidRPr="00260F36">
        <w:rPr>
          <w:rFonts w:ascii="Times New Roman" w:hAnsi="Times New Roman"/>
          <w:spacing w:val="-6"/>
          <w:sz w:val="24"/>
          <w:szCs w:val="28"/>
        </w:rPr>
        <w:t>М</w:t>
      </w:r>
      <w:r w:rsidRPr="00260F36">
        <w:rPr>
          <w:rFonts w:ascii="Times New Roman" w:hAnsi="Times New Roman"/>
          <w:spacing w:val="-6"/>
          <w:sz w:val="24"/>
          <w:szCs w:val="28"/>
          <w:lang w:val="uk-UA"/>
        </w:rPr>
        <w:t>.Є. </w:t>
      </w:r>
      <w:proofErr w:type="spellStart"/>
      <w:r w:rsidRPr="00260F36">
        <w:rPr>
          <w:rFonts w:ascii="Times New Roman" w:hAnsi="Times New Roman"/>
          <w:spacing w:val="-6"/>
          <w:sz w:val="24"/>
          <w:szCs w:val="28"/>
        </w:rPr>
        <w:t>Жуковського</w:t>
      </w:r>
      <w:proofErr w:type="spellEnd"/>
      <w:r w:rsidRPr="00260F36">
        <w:rPr>
          <w:rFonts w:ascii="Times New Roman" w:hAnsi="Times New Roman"/>
          <w:spacing w:val="-6"/>
          <w:sz w:val="24"/>
          <w:szCs w:val="28"/>
          <w:lang w:val="uk-UA"/>
        </w:rPr>
        <w:t xml:space="preserve"> «</w:t>
      </w:r>
      <w:proofErr w:type="spellStart"/>
      <w:r w:rsidRPr="00260F36">
        <w:rPr>
          <w:rFonts w:ascii="Times New Roman" w:hAnsi="Times New Roman"/>
          <w:spacing w:val="-6"/>
          <w:sz w:val="24"/>
          <w:szCs w:val="28"/>
        </w:rPr>
        <w:t>Харк</w:t>
      </w:r>
      <w:proofErr w:type="spellEnd"/>
      <w:r w:rsidRPr="00260F36">
        <w:rPr>
          <w:rFonts w:ascii="Times New Roman" w:hAnsi="Times New Roman"/>
          <w:spacing w:val="-6"/>
          <w:sz w:val="24"/>
          <w:szCs w:val="28"/>
          <w:lang w:val="uk-UA"/>
        </w:rPr>
        <w:t xml:space="preserve">. </w:t>
      </w:r>
      <w:proofErr w:type="spellStart"/>
      <w:r w:rsidRPr="00260F36">
        <w:rPr>
          <w:rFonts w:ascii="Times New Roman" w:hAnsi="Times New Roman"/>
          <w:spacing w:val="-6"/>
          <w:sz w:val="24"/>
          <w:szCs w:val="28"/>
          <w:lang w:val="uk-UA"/>
        </w:rPr>
        <w:t>авіац</w:t>
      </w:r>
      <w:proofErr w:type="spellEnd"/>
      <w:r w:rsidRPr="00260F36">
        <w:rPr>
          <w:rFonts w:ascii="Times New Roman" w:hAnsi="Times New Roman"/>
          <w:spacing w:val="-6"/>
          <w:sz w:val="24"/>
          <w:szCs w:val="28"/>
          <w:lang w:val="uk-UA"/>
        </w:rPr>
        <w:t xml:space="preserve">. </w:t>
      </w:r>
      <w:proofErr w:type="spellStart"/>
      <w:r w:rsidRPr="00260F36">
        <w:rPr>
          <w:rFonts w:ascii="Times New Roman" w:hAnsi="Times New Roman"/>
          <w:spacing w:val="-6"/>
          <w:sz w:val="24"/>
          <w:szCs w:val="28"/>
          <w:lang w:val="uk-UA"/>
        </w:rPr>
        <w:t>ін-</w:t>
      </w:r>
      <w:proofErr w:type="spellEnd"/>
      <w:r w:rsidRPr="00260F36">
        <w:rPr>
          <w:rFonts w:ascii="Times New Roman" w:hAnsi="Times New Roman"/>
          <w:spacing w:val="-6"/>
          <w:sz w:val="24"/>
          <w:szCs w:val="28"/>
        </w:rPr>
        <w:t>т</w:t>
      </w:r>
      <w:r w:rsidRPr="00260F36">
        <w:rPr>
          <w:rFonts w:ascii="Times New Roman" w:hAnsi="Times New Roman"/>
          <w:spacing w:val="-6"/>
          <w:sz w:val="24"/>
          <w:szCs w:val="28"/>
          <w:lang w:val="uk-UA"/>
        </w:rPr>
        <w:t xml:space="preserve">», 2009. – №2(36). – </w:t>
      </w:r>
      <w:r w:rsidRPr="00260F36">
        <w:rPr>
          <w:rFonts w:ascii="Times New Roman" w:hAnsi="Times New Roman"/>
          <w:spacing w:val="-6"/>
          <w:sz w:val="24"/>
          <w:szCs w:val="28"/>
          <w:lang w:val="en-US"/>
        </w:rPr>
        <w:t>C</w:t>
      </w:r>
      <w:r w:rsidRPr="00260F36">
        <w:rPr>
          <w:rFonts w:ascii="Times New Roman" w:hAnsi="Times New Roman"/>
          <w:spacing w:val="-6"/>
          <w:sz w:val="24"/>
          <w:szCs w:val="28"/>
          <w:lang w:val="uk-UA"/>
        </w:rPr>
        <w:t>. 60-71.</w:t>
      </w:r>
    </w:p>
    <w:p w:rsidR="00D15BB4" w:rsidRDefault="002816C4" w:rsidP="002816C4"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>Савченко</w:t>
      </w:r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 </w:t>
      </w:r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>В.М.</w:t>
      </w:r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 </w:t>
      </w:r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 xml:space="preserve">Параметри електричної схеми </w:t>
      </w:r>
      <w:proofErr w:type="spellStart"/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Batterworth</w:t>
      </w:r>
      <w:proofErr w:type="spellEnd"/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 xml:space="preserve"> – </w:t>
      </w:r>
      <w:proofErr w:type="spellStart"/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Van</w:t>
      </w:r>
      <w:proofErr w:type="spellEnd"/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 xml:space="preserve"> </w:t>
      </w:r>
      <w:proofErr w:type="spellStart"/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Dyke</w:t>
      </w:r>
      <w:proofErr w:type="spellEnd"/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 xml:space="preserve"> п’єзоелемента з </w:t>
      </w:r>
      <w:proofErr w:type="spellStart"/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>міжелектродним</w:t>
      </w:r>
      <w:proofErr w:type="spellEnd"/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 xml:space="preserve"> зазором і однобічним </w:t>
      </w:r>
      <w:proofErr w:type="spellStart"/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>масонавантаженням</w:t>
      </w:r>
      <w:proofErr w:type="spellEnd"/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 xml:space="preserve"> / В.М.</w:t>
      </w:r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 </w:t>
      </w:r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>Савченко, С.В.</w:t>
      </w:r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 </w:t>
      </w:r>
      <w:proofErr w:type="spellStart"/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>Хуторненко</w:t>
      </w:r>
      <w:proofErr w:type="spellEnd"/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 xml:space="preserve"> // Системи озброєння і військова техніка. – </w:t>
      </w:r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X</w:t>
      </w:r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 xml:space="preserve">.: </w:t>
      </w:r>
      <w:proofErr w:type="spellStart"/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>Харк</w:t>
      </w:r>
      <w:proofErr w:type="spellEnd"/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 xml:space="preserve">. ун-т </w:t>
      </w:r>
      <w:proofErr w:type="spellStart"/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>повітр</w:t>
      </w:r>
      <w:proofErr w:type="spellEnd"/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>. сил ім.</w:t>
      </w:r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 </w:t>
      </w:r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>Івана</w:t>
      </w:r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 </w:t>
      </w:r>
      <w:proofErr w:type="spellStart"/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>Кожедуба</w:t>
      </w:r>
      <w:proofErr w:type="spellEnd"/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>, 2008. – №2(14). – С.</w:t>
      </w:r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 </w:t>
      </w:r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>104</w:t>
      </w:r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 </w:t>
      </w:r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>–</w:t>
      </w:r>
      <w:r w:rsidRPr="00260F36">
        <w:rPr>
          <w:rFonts w:ascii="Times New Roman" w:hAnsi="Times New Roman"/>
          <w:color w:val="000000"/>
          <w:spacing w:val="-6"/>
          <w:sz w:val="24"/>
          <w:szCs w:val="28"/>
        </w:rPr>
        <w:t> </w:t>
      </w:r>
      <w:r w:rsidRPr="00260F36">
        <w:rPr>
          <w:rFonts w:ascii="Times New Roman" w:hAnsi="Times New Roman"/>
          <w:color w:val="000000"/>
          <w:spacing w:val="-6"/>
          <w:sz w:val="24"/>
          <w:szCs w:val="28"/>
          <w:lang w:val="uk-UA"/>
        </w:rPr>
        <w:t>107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F2709"/>
    <w:multiLevelType w:val="hybridMultilevel"/>
    <w:tmpl w:val="660C5D1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816C4"/>
    <w:rsid w:val="0007502A"/>
    <w:rsid w:val="00164619"/>
    <w:rsid w:val="002816C4"/>
    <w:rsid w:val="00453984"/>
    <w:rsid w:val="00797960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C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2870</Words>
  <Characters>1636</Characters>
  <Application>Microsoft Office Word</Application>
  <DocSecurity>0</DocSecurity>
  <Lines>13</Lines>
  <Paragraphs>8</Paragraphs>
  <ScaleCrop>false</ScaleCrop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2016-10-04T06:58:00Z</dcterms:created>
  <dcterms:modified xsi:type="dcterms:W3CDTF">2016-10-04T06:59:00Z</dcterms:modified>
</cp:coreProperties>
</file>