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>Карпутенко</w:t>
      </w:r>
      <w:proofErr w:type="spellEnd"/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 xml:space="preserve"> М. О.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ru-RU"/>
        </w:rPr>
      </w:pPr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>ОСОБЛИВОСТІ УПРАВЛІННЯ РИЗИКАМИ В БАНКІВСЬКІЙ СФЕРІ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останніх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функціям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ризиками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приділено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достатньої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до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чого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призвело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загрози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ієї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банківськими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ризиками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банк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виявляє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проводить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оцінку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здійснює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контролює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ризикові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позиції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враховує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ізними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категоріями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>.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мінімізації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знайшли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відображення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працях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А. М. Мороза, Ю.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Бутеля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В. С. Стельмаха, А.О.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Єпіфанова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Н.І. Версаля, В. В.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Вітлінського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Р. І.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Тиркало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В. В.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Галасюка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А. П. Ковалева, С. М.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Павлюка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авторів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сьогоднішній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день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недостатньо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повно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вивчено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проаналізовано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подальшого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>.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67B8">
        <w:rPr>
          <w:rFonts w:ascii="Times New Roman" w:hAnsi="Times New Roman"/>
          <w:sz w:val="28"/>
          <w:szCs w:val="28"/>
          <w:lang w:val="ru-RU"/>
        </w:rPr>
        <w:t xml:space="preserve">Основною метою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якомога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більшого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прибутку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. Але в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обсягів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здійснюваних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банком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приносять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банку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прибуток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збільшується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івень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сфера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чутливою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соціально-економічних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чинників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а й до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природно-кліматичних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політичних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умов. В </w:t>
      </w:r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чергу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розуміння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суті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правильне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ними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змогу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уникнути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зменшити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неминучі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втрати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банківській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>.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задача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ризик-менеджменту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раціональному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банківськими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ризиками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якомога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правильнішому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ефективнішому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оцінюванні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івня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виникає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тієї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іншої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>.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67B8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ізноманітних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працях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дослідженнях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присвячені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проблемам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наведено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різноманітні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підходи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класифікації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Більшість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підходів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вчених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зведено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висновку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банківській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дві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>: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E27DD" w:rsidRPr="002D67B8" w:rsidRDefault="005E27DD" w:rsidP="005E27D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23" w:lineRule="auto"/>
        <w:ind w:left="8" w:right="2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зовнішні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зовнішньому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банку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банку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конкретного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клієнта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вирішальним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суттєво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погіршить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фінансовий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стан банку. 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5E27DD" w:rsidRPr="002D67B8" w:rsidRDefault="005E27DD" w:rsidP="005E27D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15" w:lineRule="auto"/>
        <w:ind w:left="8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внутрішні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функціонуванням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банку як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комерційної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банківськими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ризиками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ризиками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в банку -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наступних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етапів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причин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мінімізації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обмеження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постійного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контролю за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івнем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ризиків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5E27DD" w:rsidRDefault="005E27DD" w:rsidP="005E27D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39" w:lineRule="auto"/>
        <w:ind w:left="188" w:hanging="1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використанням механізму зворотного зв'язку. </w:t>
      </w:r>
    </w:p>
    <w:p w:rsidR="005E27DD" w:rsidRDefault="005E27DD" w:rsidP="005E27DD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5E27DD" w:rsidRPr="002D67B8" w:rsidRDefault="005E27DD" w:rsidP="005E27DD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ризиками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в банку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ідсистем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кредитним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ліквідності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процентним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ринковим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валютним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операційно-технологічним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репутації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стратегічним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юридичним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ризиком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>.</w:t>
      </w:r>
    </w:p>
    <w:p w:rsidR="005E27DD" w:rsidRPr="002D67B8" w:rsidRDefault="005E27DD" w:rsidP="005E27DD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210820</wp:posOffset>
            </wp:positionV>
            <wp:extent cx="651637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BB4" w:rsidRPr="005E27DD" w:rsidRDefault="005E27DD" w:rsidP="005E27D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"/>
        <w:rPr>
          <w:lang w:val="ru-RU"/>
        </w:rPr>
      </w:pPr>
      <w:r w:rsidRPr="002D67B8">
        <w:rPr>
          <w:rFonts w:ascii="Times New Roman" w:hAnsi="Times New Roman"/>
          <w:sz w:val="28"/>
          <w:szCs w:val="28"/>
          <w:lang w:val="ru-RU"/>
        </w:rPr>
        <w:t xml:space="preserve">Робота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виконана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67B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D67B8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доц.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Менеджменту </w:t>
      </w:r>
      <w:proofErr w:type="spellStart"/>
      <w:r w:rsidRPr="002D67B8">
        <w:rPr>
          <w:rFonts w:ascii="Times New Roman" w:hAnsi="Times New Roman"/>
          <w:sz w:val="28"/>
          <w:szCs w:val="28"/>
          <w:lang w:val="ru-RU"/>
        </w:rPr>
        <w:t>Дуднєвої</w:t>
      </w:r>
      <w:proofErr w:type="spellEnd"/>
      <w:r w:rsidRPr="002D67B8">
        <w:rPr>
          <w:rFonts w:ascii="Times New Roman" w:hAnsi="Times New Roman"/>
          <w:sz w:val="28"/>
          <w:szCs w:val="28"/>
          <w:lang w:val="ru-RU"/>
        </w:rPr>
        <w:t xml:space="preserve"> Ю. Е.</w:t>
      </w:r>
    </w:p>
    <w:sectPr w:rsidR="00D15BB4" w:rsidRPr="005E27DD" w:rsidSect="005E27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00000F3E"/>
    <w:lvl w:ilvl="0" w:tplc="00000099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27DD"/>
    <w:rsid w:val="0007502A"/>
    <w:rsid w:val="00164619"/>
    <w:rsid w:val="0021501E"/>
    <w:rsid w:val="00453984"/>
    <w:rsid w:val="005E27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2016-09-27T07:15:00Z</dcterms:created>
  <dcterms:modified xsi:type="dcterms:W3CDTF">2016-09-27T07:16:00Z</dcterms:modified>
</cp:coreProperties>
</file>