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33" w:rsidRPr="00D50033" w:rsidRDefault="00D50033" w:rsidP="00D50033">
      <w:pPr>
        <w:ind w:firstLine="708"/>
        <w:jc w:val="both"/>
        <w:rPr>
          <w:b/>
          <w:bCs/>
          <w:sz w:val="26"/>
          <w:szCs w:val="26"/>
        </w:rPr>
      </w:pPr>
      <w:proofErr w:type="spellStart"/>
      <w:r w:rsidRPr="00D50033">
        <w:rPr>
          <w:b/>
          <w:bCs/>
          <w:sz w:val="26"/>
          <w:szCs w:val="26"/>
        </w:rPr>
        <w:t>Невраева</w:t>
      </w:r>
      <w:proofErr w:type="spellEnd"/>
      <w:r w:rsidRPr="00D50033">
        <w:rPr>
          <w:b/>
          <w:bCs/>
          <w:sz w:val="26"/>
          <w:szCs w:val="26"/>
        </w:rPr>
        <w:t xml:space="preserve"> С. А.</w:t>
      </w:r>
    </w:p>
    <w:p w:rsidR="00D50033" w:rsidRPr="00D50033" w:rsidRDefault="00D50033" w:rsidP="00D50033">
      <w:pPr>
        <w:ind w:firstLine="708"/>
        <w:rPr>
          <w:b/>
          <w:bCs/>
          <w:sz w:val="26"/>
          <w:szCs w:val="26"/>
        </w:rPr>
      </w:pPr>
      <w:r w:rsidRPr="00D50033">
        <w:rPr>
          <w:b/>
          <w:bCs/>
          <w:sz w:val="26"/>
          <w:szCs w:val="26"/>
        </w:rPr>
        <w:t>СОВРЕМЕННОЕ ГРУЗОПОДЪЕМНОЕ ОБОРУДОВАНИЕ</w:t>
      </w:r>
    </w:p>
    <w:p w:rsidR="00D50033" w:rsidRPr="00D50033" w:rsidRDefault="00D50033" w:rsidP="00D50033">
      <w:pPr>
        <w:suppressAutoHyphens/>
        <w:ind w:firstLine="709"/>
        <w:jc w:val="both"/>
        <w:rPr>
          <w:bCs/>
          <w:spacing w:val="-4"/>
          <w:sz w:val="26"/>
          <w:szCs w:val="26"/>
        </w:rPr>
      </w:pPr>
      <w:proofErr w:type="spellStart"/>
      <w:r w:rsidRPr="00D50033">
        <w:rPr>
          <w:bCs/>
          <w:spacing w:val="-4"/>
          <w:sz w:val="26"/>
          <w:szCs w:val="26"/>
        </w:rPr>
        <w:t>Краностроительные</w:t>
      </w:r>
      <w:proofErr w:type="spellEnd"/>
      <w:r w:rsidRPr="00D50033">
        <w:rPr>
          <w:bCs/>
          <w:spacing w:val="-4"/>
          <w:sz w:val="26"/>
          <w:szCs w:val="26"/>
        </w:rPr>
        <w:t xml:space="preserve"> заводы и другие машиностроительные предприятия ежегодно выпускают десятки тысяч наименований </w:t>
      </w:r>
      <w:r w:rsidRPr="00D50033">
        <w:rPr>
          <w:spacing w:val="-4"/>
          <w:sz w:val="26"/>
          <w:szCs w:val="26"/>
        </w:rPr>
        <w:t>грузоподъемного оборудования</w:t>
      </w:r>
      <w:r w:rsidRPr="00D50033">
        <w:rPr>
          <w:bCs/>
          <w:spacing w:val="-4"/>
          <w:sz w:val="26"/>
          <w:szCs w:val="26"/>
        </w:rPr>
        <w:t xml:space="preserve"> – подвесных и опорных электрических однобалочных кранов, кран-балок, небольших козловых и консольных кранов. Появление небольших моторных грейферов, грузовых захватов на постоянных магнитах и пневматических вакуумных захватов-подъемников позволило применить рассматриваемые краны для перегрузки насыпных грузов, металлолома, леса, труб, металлических листов, мешков, бочек, коробок, мебели и т.п. То есть сделало их универсальным, очень удобным и широко востребованным грузоподъемным средством.</w:t>
      </w:r>
    </w:p>
    <w:p w:rsidR="00D50033" w:rsidRPr="00D50033" w:rsidRDefault="00D50033" w:rsidP="00D50033">
      <w:pPr>
        <w:suppressAutoHyphens/>
        <w:ind w:firstLine="709"/>
        <w:jc w:val="both"/>
        <w:rPr>
          <w:bCs/>
          <w:spacing w:val="-4"/>
          <w:sz w:val="26"/>
          <w:szCs w:val="26"/>
        </w:rPr>
      </w:pPr>
      <w:r w:rsidRPr="00D50033">
        <w:rPr>
          <w:bCs/>
          <w:spacing w:val="-4"/>
          <w:sz w:val="26"/>
          <w:szCs w:val="26"/>
        </w:rPr>
        <w:t xml:space="preserve">Значительно расширили возможности использования консольных </w:t>
      </w:r>
      <w:r w:rsidRPr="00D50033">
        <w:rPr>
          <w:spacing w:val="-4"/>
          <w:sz w:val="26"/>
          <w:szCs w:val="26"/>
        </w:rPr>
        <w:t>кранов</w:t>
      </w:r>
      <w:r w:rsidRPr="00D50033">
        <w:rPr>
          <w:bCs/>
          <w:spacing w:val="-4"/>
          <w:sz w:val="26"/>
          <w:szCs w:val="26"/>
        </w:rPr>
        <w:t xml:space="preserve">, </w:t>
      </w:r>
      <w:r w:rsidRPr="00D50033">
        <w:rPr>
          <w:spacing w:val="-4"/>
          <w:sz w:val="26"/>
          <w:szCs w:val="26"/>
        </w:rPr>
        <w:t>кран-балок</w:t>
      </w:r>
      <w:r w:rsidRPr="00D50033">
        <w:rPr>
          <w:bCs/>
          <w:spacing w:val="-4"/>
          <w:sz w:val="26"/>
          <w:szCs w:val="26"/>
        </w:rPr>
        <w:t xml:space="preserve"> и небольших </w:t>
      </w:r>
      <w:r w:rsidRPr="00D50033">
        <w:rPr>
          <w:spacing w:val="-4"/>
          <w:sz w:val="26"/>
          <w:szCs w:val="26"/>
        </w:rPr>
        <w:t>козловых кранов</w:t>
      </w:r>
      <w:r w:rsidRPr="00D50033">
        <w:rPr>
          <w:bCs/>
          <w:spacing w:val="-4"/>
          <w:sz w:val="26"/>
          <w:szCs w:val="26"/>
        </w:rPr>
        <w:t xml:space="preserve"> моторные грейферы (</w:t>
      </w:r>
      <w:proofErr w:type="gramStart"/>
      <w:r w:rsidRPr="00D50033">
        <w:rPr>
          <w:bCs/>
          <w:spacing w:val="-4"/>
          <w:sz w:val="26"/>
          <w:szCs w:val="26"/>
        </w:rPr>
        <w:t>см</w:t>
      </w:r>
      <w:proofErr w:type="gramEnd"/>
      <w:r w:rsidRPr="00D50033">
        <w:rPr>
          <w:bCs/>
          <w:spacing w:val="-4"/>
          <w:sz w:val="26"/>
          <w:szCs w:val="26"/>
        </w:rPr>
        <w:t xml:space="preserve">. рис. 1). </w:t>
      </w:r>
    </w:p>
    <w:tbl>
      <w:tblPr>
        <w:tblW w:w="0" w:type="auto"/>
        <w:tblLook w:val="01E0"/>
      </w:tblPr>
      <w:tblGrid>
        <w:gridCol w:w="6654"/>
        <w:gridCol w:w="3201"/>
      </w:tblGrid>
      <w:tr w:rsidR="00D50033" w:rsidRPr="00D50033" w:rsidTr="004D7517">
        <w:tc>
          <w:tcPr>
            <w:tcW w:w="5352" w:type="dxa"/>
          </w:tcPr>
          <w:tbl>
            <w:tblPr>
              <w:tblW w:w="0" w:type="auto"/>
              <w:jc w:val="center"/>
              <w:tblLook w:val="01E0"/>
            </w:tblPr>
            <w:tblGrid>
              <w:gridCol w:w="1626"/>
              <w:gridCol w:w="1506"/>
              <w:gridCol w:w="3306"/>
            </w:tblGrid>
            <w:tr w:rsidR="00D50033" w:rsidRPr="00D50033" w:rsidTr="004D7517">
              <w:trPr>
                <w:jc w:val="center"/>
              </w:trPr>
              <w:tc>
                <w:tcPr>
                  <w:tcW w:w="1809" w:type="dxa"/>
                </w:tcPr>
                <w:p w:rsidR="00D50033" w:rsidRPr="00D50033" w:rsidRDefault="00D50033" w:rsidP="004D7517">
                  <w:pPr>
                    <w:suppressAutoHyphens/>
                    <w:rPr>
                      <w:bCs/>
                      <w:spacing w:val="-4"/>
                      <w:sz w:val="26"/>
                      <w:szCs w:val="26"/>
                    </w:rPr>
                  </w:pPr>
                  <w:r w:rsidRPr="00D50033">
                    <w:rPr>
                      <w:noProof/>
                      <w:spacing w:val="-4"/>
                      <w:sz w:val="26"/>
                      <w:szCs w:val="26"/>
                      <w:lang w:val="uk-UA" w:eastAsia="uk-UA"/>
                    </w:rPr>
                    <w:drawing>
                      <wp:inline distT="0" distB="0" distL="0" distR="0">
                        <wp:extent cx="876300" cy="1247775"/>
                        <wp:effectExtent l="19050" t="0" r="0" b="0"/>
                        <wp:docPr id="1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3" w:type="dxa"/>
                </w:tcPr>
                <w:p w:rsidR="00D50033" w:rsidRPr="00D50033" w:rsidRDefault="00D50033" w:rsidP="004D7517">
                  <w:pPr>
                    <w:suppressAutoHyphens/>
                    <w:jc w:val="both"/>
                    <w:rPr>
                      <w:bCs/>
                      <w:spacing w:val="-4"/>
                      <w:sz w:val="26"/>
                      <w:szCs w:val="26"/>
                    </w:rPr>
                  </w:pPr>
                  <w:r w:rsidRPr="00D50033">
                    <w:rPr>
                      <w:noProof/>
                      <w:spacing w:val="-4"/>
                      <w:sz w:val="26"/>
                      <w:szCs w:val="26"/>
                      <w:lang w:val="uk-UA" w:eastAsia="uk-UA"/>
                    </w:rPr>
                    <w:drawing>
                      <wp:inline distT="0" distB="0" distL="0" distR="0">
                        <wp:extent cx="800100" cy="1171575"/>
                        <wp:effectExtent l="19050" t="0" r="0" b="0"/>
                        <wp:docPr id="2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2" w:type="dxa"/>
                </w:tcPr>
                <w:p w:rsidR="00D50033" w:rsidRPr="00D50033" w:rsidRDefault="00D50033" w:rsidP="004D7517">
                  <w:pPr>
                    <w:suppressAutoHyphens/>
                    <w:jc w:val="both"/>
                    <w:rPr>
                      <w:bCs/>
                      <w:spacing w:val="-4"/>
                      <w:sz w:val="26"/>
                      <w:szCs w:val="26"/>
                    </w:rPr>
                  </w:pPr>
                  <w:r w:rsidRPr="00D50033">
                    <w:rPr>
                      <w:noProof/>
                      <w:spacing w:val="-4"/>
                      <w:sz w:val="26"/>
                      <w:szCs w:val="26"/>
                      <w:lang w:val="uk-UA" w:eastAsia="uk-UA"/>
                    </w:rPr>
                    <w:drawing>
                      <wp:inline distT="0" distB="0" distL="0" distR="0">
                        <wp:extent cx="1943100" cy="1219200"/>
                        <wp:effectExtent l="19050" t="0" r="0" b="0"/>
                        <wp:docPr id="3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50033" w:rsidRPr="00D50033" w:rsidRDefault="00D50033" w:rsidP="004D7517">
            <w:pPr>
              <w:suppressAutoHyphens/>
              <w:ind w:firstLine="709"/>
              <w:jc w:val="both"/>
              <w:rPr>
                <w:bCs/>
                <w:spacing w:val="-4"/>
                <w:sz w:val="26"/>
                <w:szCs w:val="26"/>
              </w:rPr>
            </w:pPr>
            <w:r w:rsidRPr="00D50033">
              <w:rPr>
                <w:bCs/>
                <w:spacing w:val="-4"/>
                <w:sz w:val="26"/>
                <w:szCs w:val="26"/>
              </w:rPr>
              <w:t>Рис. 1 – Моторные грейферы</w:t>
            </w:r>
          </w:p>
        </w:tc>
        <w:tc>
          <w:tcPr>
            <w:tcW w:w="5352" w:type="dxa"/>
          </w:tcPr>
          <w:p w:rsidR="00D50033" w:rsidRPr="00D50033" w:rsidRDefault="00D50033" w:rsidP="004D7517">
            <w:pPr>
              <w:suppressAutoHyphens/>
              <w:jc w:val="both"/>
              <w:rPr>
                <w:bCs/>
                <w:spacing w:val="-4"/>
                <w:sz w:val="26"/>
                <w:szCs w:val="26"/>
              </w:rPr>
            </w:pPr>
            <w:proofErr w:type="gramStart"/>
            <w:r w:rsidRPr="00D50033">
              <w:rPr>
                <w:bCs/>
                <w:i/>
                <w:iCs/>
                <w:spacing w:val="-4"/>
                <w:sz w:val="26"/>
                <w:szCs w:val="26"/>
              </w:rPr>
              <w:t>Грейфер</w:t>
            </w:r>
            <w:r w:rsidRPr="00D50033">
              <w:rPr>
                <w:bCs/>
                <w:spacing w:val="-4"/>
                <w:sz w:val="26"/>
                <w:szCs w:val="26"/>
              </w:rPr>
              <w:t xml:space="preserve"> приводится в действие механизмом, установленном на нем самом, может быть подвешен на обычном крюке крана, кран-балки, монорельсовой тележки и при необходимости легко демонтирован.</w:t>
            </w:r>
            <w:proofErr w:type="gramEnd"/>
          </w:p>
        </w:tc>
      </w:tr>
    </w:tbl>
    <w:p w:rsidR="00D50033" w:rsidRPr="00D50033" w:rsidRDefault="00D50033" w:rsidP="00D50033">
      <w:pPr>
        <w:suppressAutoHyphens/>
        <w:jc w:val="both"/>
        <w:rPr>
          <w:bCs/>
          <w:spacing w:val="-4"/>
          <w:sz w:val="26"/>
          <w:szCs w:val="26"/>
        </w:rPr>
      </w:pPr>
      <w:r w:rsidRPr="00D50033">
        <w:rPr>
          <w:bCs/>
          <w:spacing w:val="-4"/>
          <w:sz w:val="26"/>
          <w:szCs w:val="26"/>
        </w:rPr>
        <w:t xml:space="preserve">Замыкание и размыкание челюстей выполняется электрогидравлическим или электромеханическим приводом. Движение челюстей осуществляется гидроцилиндрами, связанными с этим блоком гибкими шлангами. </w:t>
      </w:r>
    </w:p>
    <w:p w:rsidR="00D50033" w:rsidRPr="00D50033" w:rsidRDefault="00D50033" w:rsidP="00D50033">
      <w:pPr>
        <w:suppressAutoHyphens/>
        <w:ind w:firstLine="709"/>
        <w:jc w:val="both"/>
        <w:rPr>
          <w:bCs/>
          <w:spacing w:val="-4"/>
          <w:sz w:val="26"/>
          <w:szCs w:val="26"/>
        </w:rPr>
      </w:pPr>
      <w:r w:rsidRPr="00D50033">
        <w:rPr>
          <w:bCs/>
          <w:spacing w:val="-4"/>
          <w:sz w:val="26"/>
          <w:szCs w:val="26"/>
        </w:rPr>
        <w:t xml:space="preserve">Использование появившихся грузовых захватов с постоянными магнитами позволяет транспортировать и перегружать плоские металлические заготовки, листы, металлоконструкции в сборочных и заготовительных цехах и т.д. Значительно расширяют области рационального использования консольных </w:t>
      </w:r>
      <w:r w:rsidRPr="00D50033">
        <w:rPr>
          <w:spacing w:val="-4"/>
          <w:sz w:val="26"/>
          <w:szCs w:val="26"/>
        </w:rPr>
        <w:t>кранов</w:t>
      </w:r>
      <w:r w:rsidRPr="00D50033">
        <w:rPr>
          <w:bCs/>
          <w:spacing w:val="-4"/>
          <w:sz w:val="26"/>
          <w:szCs w:val="26"/>
        </w:rPr>
        <w:t xml:space="preserve"> и </w:t>
      </w:r>
      <w:r w:rsidRPr="00D50033">
        <w:rPr>
          <w:spacing w:val="-4"/>
          <w:sz w:val="26"/>
          <w:szCs w:val="26"/>
        </w:rPr>
        <w:t>кран-балок</w:t>
      </w:r>
      <w:r w:rsidRPr="00D50033">
        <w:rPr>
          <w:bCs/>
          <w:spacing w:val="-4"/>
          <w:sz w:val="26"/>
          <w:szCs w:val="26"/>
        </w:rPr>
        <w:t xml:space="preserve"> и пневматические вакуумные подъемники (</w:t>
      </w:r>
      <w:proofErr w:type="gramStart"/>
      <w:r w:rsidRPr="00D50033">
        <w:rPr>
          <w:bCs/>
          <w:spacing w:val="-4"/>
          <w:sz w:val="26"/>
          <w:szCs w:val="26"/>
        </w:rPr>
        <w:t>см</w:t>
      </w:r>
      <w:proofErr w:type="gramEnd"/>
      <w:r w:rsidRPr="00D50033">
        <w:rPr>
          <w:bCs/>
          <w:spacing w:val="-4"/>
          <w:sz w:val="26"/>
          <w:szCs w:val="26"/>
        </w:rPr>
        <w:t xml:space="preserve">. рис. 2). </w:t>
      </w:r>
    </w:p>
    <w:tbl>
      <w:tblPr>
        <w:tblW w:w="0" w:type="auto"/>
        <w:tblLook w:val="01E0"/>
      </w:tblPr>
      <w:tblGrid>
        <w:gridCol w:w="3036"/>
        <w:gridCol w:w="3369"/>
        <w:gridCol w:w="3450"/>
      </w:tblGrid>
      <w:tr w:rsidR="00D50033" w:rsidRPr="00D50033" w:rsidTr="004D7517">
        <w:tc>
          <w:tcPr>
            <w:tcW w:w="3227" w:type="dxa"/>
          </w:tcPr>
          <w:p w:rsidR="00D50033" w:rsidRPr="00D50033" w:rsidRDefault="00D50033" w:rsidP="004D7517">
            <w:pPr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D50033">
              <w:rPr>
                <w:b/>
                <w:noProof/>
                <w:spacing w:val="-4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1209675" cy="13716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D50033" w:rsidRPr="00D50033" w:rsidRDefault="00D50033" w:rsidP="004D7517">
            <w:pPr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D50033">
              <w:rPr>
                <w:b/>
                <w:noProof/>
                <w:spacing w:val="-4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1409700" cy="1304925"/>
                  <wp:effectExtent l="1905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D50033" w:rsidRPr="00D50033" w:rsidRDefault="00D50033" w:rsidP="004D7517">
            <w:pPr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D50033">
              <w:rPr>
                <w:b/>
                <w:noProof/>
                <w:spacing w:val="-4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1685925" cy="1276350"/>
                  <wp:effectExtent l="19050" t="0" r="952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0033" w:rsidRPr="00D50033" w:rsidRDefault="00D50033" w:rsidP="00D50033">
      <w:pPr>
        <w:suppressAutoHyphens/>
        <w:ind w:firstLine="709"/>
        <w:jc w:val="both"/>
        <w:rPr>
          <w:bCs/>
          <w:spacing w:val="-4"/>
          <w:sz w:val="26"/>
          <w:szCs w:val="26"/>
        </w:rPr>
      </w:pPr>
      <w:r w:rsidRPr="00D50033">
        <w:rPr>
          <w:bCs/>
          <w:spacing w:val="-4"/>
          <w:sz w:val="26"/>
          <w:szCs w:val="26"/>
        </w:rPr>
        <w:t>Рис. 2 – Пневматические вакуумные подъемники</w:t>
      </w:r>
    </w:p>
    <w:p w:rsidR="00D50033" w:rsidRPr="00D50033" w:rsidRDefault="00D50033" w:rsidP="00D50033">
      <w:pPr>
        <w:pBdr>
          <w:bottom w:val="single" w:sz="4" w:space="1" w:color="auto"/>
        </w:pBdr>
        <w:suppressAutoHyphens/>
        <w:ind w:firstLine="709"/>
        <w:jc w:val="both"/>
        <w:rPr>
          <w:bCs/>
          <w:spacing w:val="-4"/>
          <w:sz w:val="26"/>
          <w:szCs w:val="26"/>
        </w:rPr>
      </w:pPr>
      <w:r w:rsidRPr="00D50033">
        <w:rPr>
          <w:bCs/>
          <w:spacing w:val="-4"/>
          <w:sz w:val="26"/>
          <w:szCs w:val="26"/>
        </w:rPr>
        <w:t xml:space="preserve">Для подъема и удержания груза на определенной высоте в подъемной трубе с присоской-насадкой создается пониженное давление по сравнению с атмосферным (вакуум), Воздух откачивается из нее специальным насосом через пневматический шланг и фильтр. Насос может быть установлен на расстоянии до </w:t>
      </w:r>
      <w:smartTag w:uri="urn:schemas-microsoft-com:office:smarttags" w:element="metricconverter">
        <w:smartTagPr>
          <w:attr w:name="ProductID" w:val="30 м"/>
        </w:smartTagPr>
        <w:r w:rsidRPr="00D50033">
          <w:rPr>
            <w:bCs/>
            <w:spacing w:val="-4"/>
            <w:sz w:val="26"/>
            <w:szCs w:val="26"/>
          </w:rPr>
          <w:t>30 м</w:t>
        </w:r>
      </w:smartTag>
      <w:r w:rsidRPr="00D50033">
        <w:rPr>
          <w:bCs/>
          <w:spacing w:val="-4"/>
          <w:sz w:val="26"/>
          <w:szCs w:val="26"/>
        </w:rPr>
        <w:t xml:space="preserve"> от места работы с грузом. Подъемная труба крепится с помощью шарнира и может поворачиваться на 360 град. Максимальная высота подъема составляет от 1,5 до </w:t>
      </w:r>
      <w:smartTag w:uri="urn:schemas-microsoft-com:office:smarttags" w:element="metricconverter">
        <w:smartTagPr>
          <w:attr w:name="ProductID" w:val="2,6 м"/>
        </w:smartTagPr>
        <w:r w:rsidRPr="00D50033">
          <w:rPr>
            <w:bCs/>
            <w:spacing w:val="-4"/>
            <w:sz w:val="26"/>
            <w:szCs w:val="26"/>
          </w:rPr>
          <w:t>2,6 м</w:t>
        </w:r>
      </w:smartTag>
      <w:r w:rsidRPr="00D50033">
        <w:rPr>
          <w:bCs/>
          <w:spacing w:val="-4"/>
          <w:sz w:val="26"/>
          <w:szCs w:val="26"/>
        </w:rPr>
        <w:t xml:space="preserve">, грузоподъемность – от 20 до </w:t>
      </w:r>
      <w:smartTag w:uri="urn:schemas-microsoft-com:office:smarttags" w:element="metricconverter">
        <w:smartTagPr>
          <w:attr w:name="ProductID" w:val="270 кг"/>
        </w:smartTagPr>
        <w:r w:rsidRPr="00D50033">
          <w:rPr>
            <w:bCs/>
            <w:spacing w:val="-4"/>
            <w:sz w:val="26"/>
            <w:szCs w:val="26"/>
          </w:rPr>
          <w:t>270 кг</w:t>
        </w:r>
      </w:smartTag>
      <w:r w:rsidRPr="00D50033">
        <w:rPr>
          <w:bCs/>
          <w:spacing w:val="-4"/>
          <w:sz w:val="26"/>
          <w:szCs w:val="26"/>
        </w:rPr>
        <w:t xml:space="preserve">. Специальные модели подъемников, изготовленные из нержавеющей стали, предназначены для эксплуатации в пищевой промышленности и в коррозийной окружающей среде. </w:t>
      </w:r>
    </w:p>
    <w:p w:rsidR="00D50033" w:rsidRPr="00D50033" w:rsidRDefault="00D50033" w:rsidP="00D50033">
      <w:pPr>
        <w:suppressAutoHyphens/>
        <w:ind w:firstLine="709"/>
        <w:jc w:val="both"/>
        <w:rPr>
          <w:bCs/>
          <w:sz w:val="26"/>
          <w:szCs w:val="26"/>
        </w:rPr>
      </w:pPr>
      <w:r w:rsidRPr="00D50033">
        <w:rPr>
          <w:bCs/>
          <w:sz w:val="26"/>
          <w:szCs w:val="26"/>
        </w:rPr>
        <w:t>Работа выполнена под руководством ас</w:t>
      </w:r>
      <w:proofErr w:type="gramStart"/>
      <w:r w:rsidRPr="00D50033">
        <w:rPr>
          <w:bCs/>
          <w:sz w:val="26"/>
          <w:szCs w:val="26"/>
        </w:rPr>
        <w:t>.</w:t>
      </w:r>
      <w:proofErr w:type="gramEnd"/>
      <w:r w:rsidRPr="00D50033">
        <w:rPr>
          <w:bCs/>
          <w:sz w:val="26"/>
          <w:szCs w:val="26"/>
        </w:rPr>
        <w:t xml:space="preserve"> </w:t>
      </w:r>
      <w:proofErr w:type="gramStart"/>
      <w:r w:rsidRPr="00D50033">
        <w:rPr>
          <w:bCs/>
          <w:sz w:val="26"/>
          <w:szCs w:val="26"/>
        </w:rPr>
        <w:t>к</w:t>
      </w:r>
      <w:proofErr w:type="gramEnd"/>
      <w:r w:rsidRPr="00D50033">
        <w:rPr>
          <w:bCs/>
          <w:sz w:val="26"/>
          <w:szCs w:val="26"/>
        </w:rPr>
        <w:t xml:space="preserve">афедры </w:t>
      </w:r>
      <w:proofErr w:type="spellStart"/>
      <w:r w:rsidRPr="00D50033">
        <w:rPr>
          <w:bCs/>
          <w:sz w:val="26"/>
          <w:szCs w:val="26"/>
        </w:rPr>
        <w:t>МОиТС</w:t>
      </w:r>
      <w:proofErr w:type="spellEnd"/>
      <w:r w:rsidRPr="00D50033">
        <w:rPr>
          <w:bCs/>
          <w:sz w:val="26"/>
          <w:szCs w:val="26"/>
        </w:rPr>
        <w:t xml:space="preserve"> Осиповой Т. Н.</w:t>
      </w:r>
    </w:p>
    <w:p w:rsidR="00D50033" w:rsidRPr="00D50033" w:rsidRDefault="00D50033" w:rsidP="00D50033">
      <w:pPr>
        <w:ind w:firstLine="709"/>
        <w:jc w:val="both"/>
        <w:rPr>
          <w:sz w:val="26"/>
          <w:szCs w:val="26"/>
          <w:lang w:val="en-US"/>
        </w:rPr>
      </w:pPr>
    </w:p>
    <w:sectPr w:rsidR="00D50033" w:rsidRPr="00D50033" w:rsidSect="00D5003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033" w:rsidRDefault="00D50033" w:rsidP="00D50033">
      <w:r>
        <w:separator/>
      </w:r>
    </w:p>
  </w:endnote>
  <w:endnote w:type="continuationSeparator" w:id="0">
    <w:p w:rsidR="00D50033" w:rsidRDefault="00D50033" w:rsidP="00D5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033" w:rsidRDefault="00D50033" w:rsidP="00D50033">
      <w:r>
        <w:separator/>
      </w:r>
    </w:p>
  </w:footnote>
  <w:footnote w:type="continuationSeparator" w:id="0">
    <w:p w:rsidR="00D50033" w:rsidRDefault="00D50033" w:rsidP="00D50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033"/>
    <w:rsid w:val="0007502A"/>
    <w:rsid w:val="00164619"/>
    <w:rsid w:val="00BF7752"/>
    <w:rsid w:val="00C87389"/>
    <w:rsid w:val="00D15BB4"/>
    <w:rsid w:val="00D5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03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D5003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003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D5003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003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1508</Words>
  <Characters>860</Characters>
  <Application>Microsoft Office Word</Application>
  <DocSecurity>0</DocSecurity>
  <Lines>7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2016-05-19T07:16:00Z</dcterms:created>
  <dcterms:modified xsi:type="dcterms:W3CDTF">2016-05-19T07:17:00Z</dcterms:modified>
</cp:coreProperties>
</file>