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00" w:rsidRPr="00B04540" w:rsidRDefault="009B1100" w:rsidP="009B1100">
      <w:pPr>
        <w:ind w:firstLine="709"/>
        <w:rPr>
          <w:b/>
          <w:spacing w:val="-2"/>
          <w:sz w:val="28"/>
          <w:szCs w:val="28"/>
          <w:lang w:val="uk-UA"/>
        </w:rPr>
      </w:pPr>
      <w:proofErr w:type="spellStart"/>
      <w:r w:rsidRPr="00B04540">
        <w:rPr>
          <w:b/>
          <w:spacing w:val="-2"/>
          <w:sz w:val="28"/>
          <w:szCs w:val="28"/>
          <w:lang w:val="uk-UA"/>
        </w:rPr>
        <w:t>Ісьєміні</w:t>
      </w:r>
      <w:proofErr w:type="spellEnd"/>
      <w:r w:rsidRPr="00B04540">
        <w:rPr>
          <w:b/>
          <w:spacing w:val="-2"/>
          <w:sz w:val="28"/>
          <w:szCs w:val="28"/>
          <w:lang w:val="uk-UA"/>
        </w:rPr>
        <w:t xml:space="preserve"> І.І.</w:t>
      </w:r>
    </w:p>
    <w:p w:rsidR="009B1100" w:rsidRPr="00B04540" w:rsidRDefault="009B1100" w:rsidP="009B1100">
      <w:pPr>
        <w:ind w:firstLine="709"/>
        <w:rPr>
          <w:b/>
          <w:spacing w:val="-2"/>
          <w:sz w:val="28"/>
          <w:szCs w:val="28"/>
          <w:lang w:val="uk-UA"/>
        </w:rPr>
      </w:pPr>
      <w:r w:rsidRPr="00B04540">
        <w:rPr>
          <w:b/>
          <w:spacing w:val="-2"/>
          <w:sz w:val="28"/>
          <w:szCs w:val="28"/>
          <w:lang w:val="uk-UA"/>
        </w:rPr>
        <w:t>ВИЗНАЧЕННЯ ПАРАМЕТРІВ ПНЕВМОГІДРАВЛІЧНОГО БУФЕРА</w:t>
      </w:r>
    </w:p>
    <w:p w:rsidR="009B1100" w:rsidRPr="00B04540" w:rsidRDefault="009B1100" w:rsidP="009B1100">
      <w:pPr>
        <w:ind w:firstLine="709"/>
        <w:jc w:val="both"/>
        <w:rPr>
          <w:spacing w:val="-2"/>
          <w:sz w:val="28"/>
          <w:szCs w:val="28"/>
          <w:lang w:val="uk-UA"/>
        </w:rPr>
      </w:pPr>
      <w:r w:rsidRPr="00B04540">
        <w:rPr>
          <w:spacing w:val="-2"/>
          <w:sz w:val="28"/>
          <w:szCs w:val="28"/>
          <w:lang w:val="uk-UA"/>
        </w:rPr>
        <w:t xml:space="preserve">Експлуатація мостових вантажопідіймальних кранів пов’язана з підвищеною небезпекою. Внаслідок наїзду крана на тупикові упори з підвищеною швидкістю руйнуються кранова металоконструкція та підкранові споруди, що призводить до значних фінансових витрат. Для підвищення безпеки експлуатації мостових кранів в цілому та надійності їх захисних систем зокрема, було запропоновано </w:t>
      </w:r>
      <w:proofErr w:type="spellStart"/>
      <w:r w:rsidRPr="00B04540">
        <w:rPr>
          <w:spacing w:val="-2"/>
          <w:sz w:val="28"/>
          <w:szCs w:val="28"/>
          <w:lang w:val="uk-UA"/>
        </w:rPr>
        <w:t>пневмогідравлічний</w:t>
      </w:r>
      <w:proofErr w:type="spellEnd"/>
      <w:r w:rsidRPr="00B04540">
        <w:rPr>
          <w:spacing w:val="-2"/>
          <w:sz w:val="28"/>
          <w:szCs w:val="28"/>
          <w:lang w:val="uk-UA"/>
        </w:rPr>
        <w:t xml:space="preserve"> буфер. </w:t>
      </w:r>
    </w:p>
    <w:p w:rsidR="009B1100" w:rsidRPr="00B04540" w:rsidRDefault="009B1100" w:rsidP="009B1100">
      <w:pPr>
        <w:ind w:firstLine="709"/>
        <w:jc w:val="both"/>
        <w:rPr>
          <w:spacing w:val="-2"/>
          <w:sz w:val="28"/>
          <w:szCs w:val="28"/>
          <w:lang w:val="uk-UA"/>
        </w:rPr>
      </w:pPr>
      <w:r w:rsidRPr="00B04540">
        <w:rPr>
          <w:spacing w:val="-2"/>
          <w:sz w:val="28"/>
          <w:szCs w:val="28"/>
          <w:lang w:val="uk-UA"/>
        </w:rPr>
        <w:t xml:space="preserve">Зазвичай, для найбільш ефективної роботи </w:t>
      </w:r>
      <w:proofErr w:type="spellStart"/>
      <w:r w:rsidRPr="00B04540">
        <w:rPr>
          <w:spacing w:val="-2"/>
          <w:sz w:val="28"/>
          <w:szCs w:val="28"/>
          <w:lang w:val="uk-UA"/>
        </w:rPr>
        <w:t>пневмогідравлічного</w:t>
      </w:r>
      <w:proofErr w:type="spellEnd"/>
      <w:r w:rsidRPr="00B04540">
        <w:rPr>
          <w:spacing w:val="-2"/>
          <w:sz w:val="28"/>
          <w:szCs w:val="28"/>
          <w:lang w:val="uk-UA"/>
        </w:rPr>
        <w:t xml:space="preserve"> буфера 5 % кінетичної енергії крана витрачається на тертя в гідроциліндрі, а витрати на гідравлічний і пневматичний опори розподіляються як 40 % і 55 % відповідно. Якщо ж більшість кінетичної енергії крана сприймається гідравлічним опором, то характеристика роботи буфера є жорсткою, що призводить до збільшення навантаження від удару. При сприйнятті більшої частини кінетичної енергії крана пневматичним опором, характеристика роботи буфера стає більш м’якою, що призводить до збільшення гальмівного шляху крана.</w:t>
      </w:r>
    </w:p>
    <w:p w:rsidR="009B1100" w:rsidRPr="00B04540" w:rsidRDefault="009B1100" w:rsidP="009B1100">
      <w:pPr>
        <w:ind w:firstLine="709"/>
        <w:jc w:val="both"/>
        <w:rPr>
          <w:spacing w:val="-2"/>
          <w:sz w:val="28"/>
          <w:szCs w:val="28"/>
          <w:lang w:val="uk-UA"/>
        </w:rPr>
      </w:pPr>
      <w:r w:rsidRPr="00B04540">
        <w:rPr>
          <w:spacing w:val="-2"/>
          <w:sz w:val="28"/>
          <w:szCs w:val="28"/>
          <w:lang w:val="uk-UA"/>
        </w:rPr>
        <w:t xml:space="preserve">Проаналізувавши значення гідравлічного та пневматичного опорів під час моделювання наїзду крана з </w:t>
      </w:r>
      <w:proofErr w:type="spellStart"/>
      <w:r w:rsidRPr="00B04540">
        <w:rPr>
          <w:spacing w:val="-2"/>
          <w:sz w:val="28"/>
          <w:szCs w:val="28"/>
          <w:lang w:val="uk-UA"/>
        </w:rPr>
        <w:t>пневмогідравлічними</w:t>
      </w:r>
      <w:proofErr w:type="spellEnd"/>
      <w:r w:rsidRPr="00B04540">
        <w:rPr>
          <w:spacing w:val="-2"/>
          <w:sz w:val="28"/>
          <w:szCs w:val="28"/>
          <w:lang w:val="uk-UA"/>
        </w:rPr>
        <w:t xml:space="preserve"> буферами на тупикові упори, було знайдено частки, які становлять значення гідравлічного та пневматичного опорів від сили наїзду крана на початку гальмування при наїзді на тупикові упори з номінальною швидкістю та дотримуванні уповільнення 4 м/с2. Наїзд на тупикові упори з вантажем і без нього моделювався з однаковими параметрами </w:t>
      </w:r>
      <w:proofErr w:type="spellStart"/>
      <w:r w:rsidRPr="00B04540">
        <w:rPr>
          <w:spacing w:val="-2"/>
          <w:sz w:val="28"/>
          <w:szCs w:val="28"/>
          <w:lang w:val="uk-UA"/>
        </w:rPr>
        <w:t>пневмогідравлічного</w:t>
      </w:r>
      <w:proofErr w:type="spellEnd"/>
      <w:r w:rsidRPr="00B04540">
        <w:rPr>
          <w:spacing w:val="-2"/>
          <w:sz w:val="28"/>
          <w:szCs w:val="28"/>
          <w:lang w:val="uk-UA"/>
        </w:rPr>
        <w:t xml:space="preserve"> буфера для крана певної маси.</w:t>
      </w:r>
    </w:p>
    <w:p w:rsidR="009B1100" w:rsidRPr="00B04540" w:rsidRDefault="009B1100" w:rsidP="009B1100">
      <w:pPr>
        <w:ind w:firstLine="709"/>
        <w:jc w:val="both"/>
        <w:rPr>
          <w:spacing w:val="-2"/>
          <w:sz w:val="28"/>
          <w:szCs w:val="28"/>
          <w:lang w:val="uk-UA"/>
        </w:rPr>
      </w:pPr>
      <w:r w:rsidRPr="00B04540">
        <w:rPr>
          <w:spacing w:val="-2"/>
          <w:sz w:val="28"/>
          <w:szCs w:val="28"/>
          <w:lang w:val="uk-UA"/>
        </w:rPr>
        <w:t xml:space="preserve">Середнє значення частки гідравлічного упору від сили наїзду на початку гальмування становить 40,2 %, а пневматичного опору – 58,9 %. Отже, при розрахунках </w:t>
      </w:r>
      <w:proofErr w:type="spellStart"/>
      <w:r w:rsidRPr="00B04540">
        <w:rPr>
          <w:spacing w:val="-2"/>
          <w:sz w:val="28"/>
          <w:szCs w:val="28"/>
          <w:lang w:val="uk-UA"/>
        </w:rPr>
        <w:t>пневмогідравлічного</w:t>
      </w:r>
      <w:proofErr w:type="spellEnd"/>
      <w:r w:rsidRPr="00B04540">
        <w:rPr>
          <w:spacing w:val="-2"/>
          <w:sz w:val="28"/>
          <w:szCs w:val="28"/>
          <w:lang w:val="uk-UA"/>
        </w:rPr>
        <w:t xml:space="preserve"> буфера рекомендовано, щоб гідравлічний опір становив 40 %, а пневматичний опір – 55 % від сили наїзду на початку гальмування. Використання при розрахунках трохи менших значень, ніж ті, що були отримані при моделюванні, дозволить при експлуатації запобігти перевищенню регламентованого уповільнення.</w:t>
      </w:r>
    </w:p>
    <w:p w:rsidR="009B1100" w:rsidRDefault="009B1100" w:rsidP="009B1100">
      <w:pPr>
        <w:ind w:firstLine="709"/>
        <w:jc w:val="both"/>
        <w:rPr>
          <w:spacing w:val="-2"/>
          <w:sz w:val="28"/>
          <w:szCs w:val="28"/>
          <w:lang w:val="uk-UA"/>
        </w:rPr>
      </w:pPr>
      <w:r w:rsidRPr="00B04540">
        <w:rPr>
          <w:spacing w:val="-2"/>
          <w:sz w:val="28"/>
          <w:szCs w:val="28"/>
          <w:lang w:val="uk-UA"/>
        </w:rPr>
        <w:t xml:space="preserve">Отримане співвідношення гідравлічного та пневматичного опорів на початку гальмування крана </w:t>
      </w:r>
      <w:proofErr w:type="spellStart"/>
      <w:r w:rsidRPr="00B04540">
        <w:rPr>
          <w:spacing w:val="-2"/>
          <w:sz w:val="28"/>
          <w:szCs w:val="28"/>
          <w:lang w:val="uk-UA"/>
        </w:rPr>
        <w:t>пневмогідравлічним</w:t>
      </w:r>
      <w:proofErr w:type="spellEnd"/>
      <w:r w:rsidRPr="00B04540">
        <w:rPr>
          <w:spacing w:val="-2"/>
          <w:sz w:val="28"/>
          <w:szCs w:val="28"/>
          <w:lang w:val="uk-UA"/>
        </w:rPr>
        <w:t xml:space="preserve"> буфером дозволяє розраховувати буферний пристрій таким чином, щоб забезпечити найефективніше гальмування крана. Також рекомендується дотримуватись вищенаведених значень співвідношення пневматичного та гідравлічного опорів при експлуатації </w:t>
      </w:r>
      <w:proofErr w:type="spellStart"/>
      <w:r w:rsidRPr="00B04540">
        <w:rPr>
          <w:spacing w:val="-2"/>
          <w:sz w:val="28"/>
          <w:szCs w:val="28"/>
          <w:lang w:val="uk-UA"/>
        </w:rPr>
        <w:t>пневмогідравлічних</w:t>
      </w:r>
      <w:proofErr w:type="spellEnd"/>
      <w:r w:rsidRPr="00B04540">
        <w:rPr>
          <w:spacing w:val="-2"/>
          <w:sz w:val="28"/>
          <w:szCs w:val="28"/>
          <w:lang w:val="uk-UA"/>
        </w:rPr>
        <w:t xml:space="preserve"> буферів.</w:t>
      </w:r>
    </w:p>
    <w:p w:rsidR="009B1100" w:rsidRPr="009B1100" w:rsidRDefault="009B1100" w:rsidP="009B1100">
      <w:pPr>
        <w:ind w:firstLine="709"/>
        <w:rPr>
          <w:b/>
          <w:sz w:val="28"/>
          <w:szCs w:val="28"/>
          <w:lang w:val="uk-UA"/>
        </w:rPr>
      </w:pPr>
    </w:p>
    <w:p w:rsidR="00D15BB4" w:rsidRPr="009B1100" w:rsidRDefault="00D15BB4">
      <w:pPr>
        <w:rPr>
          <w:lang w:val="uk-UA"/>
        </w:rPr>
      </w:pPr>
    </w:p>
    <w:sectPr w:rsidR="00D15BB4" w:rsidRPr="009B1100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9B1100"/>
    <w:rsid w:val="0007502A"/>
    <w:rsid w:val="00164619"/>
    <w:rsid w:val="009B1100"/>
    <w:rsid w:val="00BA03C4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1522</Words>
  <Characters>869</Characters>
  <Application>Microsoft Office Word</Application>
  <DocSecurity>0</DocSecurity>
  <Lines>7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2016-05-17T10:45:00Z</dcterms:created>
  <dcterms:modified xsi:type="dcterms:W3CDTF">2016-05-17T10:46:00Z</dcterms:modified>
</cp:coreProperties>
</file>