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rPr>
        <w:t>УДК 378.147:81`25</w:t>
      </w:r>
    </w:p>
    <w:p w:rsidR="00D400B1" w:rsidRPr="00D400B1" w:rsidRDefault="00D400B1" w:rsidP="00D400B1">
      <w:pPr>
        <w:spacing w:after="0" w:line="240" w:lineRule="auto"/>
        <w:ind w:firstLine="567"/>
        <w:jc w:val="both"/>
        <w:rPr>
          <w:rFonts w:ascii="Times New Roman" w:hAnsi="Times New Roman"/>
          <w:color w:val="FF0000"/>
        </w:rPr>
      </w:pPr>
    </w:p>
    <w:p w:rsidR="00D400B1" w:rsidRPr="00D400B1" w:rsidRDefault="00D400B1" w:rsidP="00D400B1">
      <w:pPr>
        <w:spacing w:after="0" w:line="240" w:lineRule="auto"/>
        <w:ind w:firstLine="567"/>
        <w:jc w:val="center"/>
        <w:rPr>
          <w:rFonts w:ascii="Times New Roman" w:hAnsi="Times New Roman"/>
          <w:b/>
        </w:rPr>
      </w:pPr>
      <w:r w:rsidRPr="00D400B1">
        <w:rPr>
          <w:rFonts w:ascii="Times New Roman" w:hAnsi="Times New Roman"/>
          <w:b/>
        </w:rPr>
        <w:t>ФОРМУВАННЯ ПРОФЕСІЙНОЇ КОМПЕТЕНТНОСТІ</w:t>
      </w:r>
    </w:p>
    <w:p w:rsidR="00D400B1" w:rsidRPr="00D400B1" w:rsidRDefault="00D400B1" w:rsidP="00D400B1">
      <w:pPr>
        <w:spacing w:after="0" w:line="240" w:lineRule="auto"/>
        <w:ind w:firstLine="567"/>
        <w:jc w:val="center"/>
        <w:rPr>
          <w:rFonts w:ascii="Times New Roman" w:hAnsi="Times New Roman"/>
          <w:b/>
        </w:rPr>
      </w:pPr>
      <w:r w:rsidRPr="00D400B1">
        <w:rPr>
          <w:rFonts w:ascii="Times New Roman" w:hAnsi="Times New Roman"/>
          <w:b/>
        </w:rPr>
        <w:t>МАЙБУТНІХ ПЕРЕКЛАДАЧІВ ТЕХНІЧНОЇ ЛІТЕРАТУРИ</w:t>
      </w:r>
    </w:p>
    <w:p w:rsidR="00D400B1" w:rsidRPr="00D400B1" w:rsidRDefault="00D400B1" w:rsidP="00D400B1">
      <w:pPr>
        <w:spacing w:after="0" w:line="240" w:lineRule="auto"/>
        <w:ind w:firstLine="567"/>
        <w:jc w:val="center"/>
        <w:rPr>
          <w:rFonts w:ascii="Times New Roman" w:hAnsi="Times New Roman"/>
          <w:b/>
        </w:rPr>
      </w:pPr>
      <w:r w:rsidRPr="00D400B1">
        <w:rPr>
          <w:rFonts w:ascii="Times New Roman" w:hAnsi="Times New Roman"/>
          <w:b/>
        </w:rPr>
        <w:t>©Зеленська О. М.</w:t>
      </w:r>
    </w:p>
    <w:p w:rsidR="00D400B1" w:rsidRPr="00D400B1" w:rsidRDefault="00D400B1" w:rsidP="00D400B1">
      <w:pPr>
        <w:spacing w:after="0" w:line="240" w:lineRule="auto"/>
        <w:ind w:firstLine="567"/>
        <w:jc w:val="center"/>
        <w:rPr>
          <w:rFonts w:ascii="Times New Roman" w:hAnsi="Times New Roman"/>
          <w:i/>
        </w:rPr>
      </w:pPr>
      <w:r w:rsidRPr="00D400B1">
        <w:rPr>
          <w:rFonts w:ascii="Times New Roman" w:hAnsi="Times New Roman"/>
          <w:i/>
        </w:rPr>
        <w:t>Харківський університет Повітряних Сил імені Івана Кожедуба</w:t>
      </w:r>
    </w:p>
    <w:p w:rsidR="00D400B1" w:rsidRPr="00D400B1" w:rsidRDefault="00D400B1" w:rsidP="00D400B1">
      <w:pPr>
        <w:spacing w:after="0" w:line="240" w:lineRule="auto"/>
        <w:ind w:firstLine="567"/>
        <w:jc w:val="center"/>
        <w:rPr>
          <w:rFonts w:ascii="Times New Roman" w:hAnsi="Times New Roman"/>
        </w:rPr>
      </w:pPr>
    </w:p>
    <w:p w:rsidR="00D400B1" w:rsidRPr="00D400B1" w:rsidRDefault="00D400B1" w:rsidP="00D400B1">
      <w:pPr>
        <w:spacing w:after="0" w:line="240" w:lineRule="auto"/>
        <w:ind w:firstLine="567"/>
        <w:jc w:val="center"/>
        <w:rPr>
          <w:rFonts w:ascii="Times New Roman" w:hAnsi="Times New Roman"/>
        </w:rPr>
      </w:pPr>
      <w:r w:rsidRPr="00D400B1">
        <w:rPr>
          <w:rFonts w:ascii="Times New Roman" w:hAnsi="Times New Roman"/>
        </w:rPr>
        <w:t>І</w:t>
      </w:r>
      <w:r w:rsidRPr="00D400B1">
        <w:rPr>
          <w:rFonts w:ascii="Times New Roman" w:hAnsi="Times New Roman"/>
          <w:b/>
        </w:rPr>
        <w:t>нформація про автора:</w:t>
      </w:r>
    </w:p>
    <w:p w:rsidR="00D400B1" w:rsidRPr="00D400B1" w:rsidRDefault="00D400B1" w:rsidP="00D400B1">
      <w:pPr>
        <w:spacing w:after="0" w:line="240" w:lineRule="auto"/>
        <w:ind w:firstLine="567"/>
        <w:jc w:val="both"/>
        <w:rPr>
          <w:rFonts w:ascii="Times New Roman" w:hAnsi="Times New Roman"/>
          <w:sz w:val="20"/>
          <w:szCs w:val="20"/>
        </w:rPr>
      </w:pPr>
      <w:r w:rsidRPr="00D400B1">
        <w:rPr>
          <w:rFonts w:ascii="Times New Roman" w:hAnsi="Times New Roman"/>
          <w:b/>
          <w:color w:val="000000"/>
          <w:sz w:val="20"/>
          <w:szCs w:val="20"/>
        </w:rPr>
        <w:t>Зеленська Олена Миколаївна</w:t>
      </w:r>
      <w:r w:rsidRPr="00D400B1">
        <w:rPr>
          <w:rFonts w:ascii="Times New Roman" w:hAnsi="Times New Roman"/>
          <w:b/>
          <w:sz w:val="20"/>
          <w:szCs w:val="20"/>
        </w:rPr>
        <w:t>:</w:t>
      </w:r>
      <w:r w:rsidRPr="00D400B1">
        <w:rPr>
          <w:rFonts w:ascii="Times New Roman" w:hAnsi="Times New Roman"/>
          <w:sz w:val="20"/>
          <w:szCs w:val="20"/>
        </w:rPr>
        <w:t xml:space="preserve"> </w:t>
      </w:r>
      <w:proofErr w:type="gramStart"/>
      <w:r w:rsidRPr="00D400B1">
        <w:rPr>
          <w:rFonts w:ascii="Times New Roman" w:hAnsi="Times New Roman"/>
          <w:sz w:val="20"/>
          <w:szCs w:val="20"/>
          <w:lang w:val="en-GB"/>
        </w:rPr>
        <w:t>ORCID</w:t>
      </w:r>
      <w:r w:rsidRPr="00D400B1">
        <w:rPr>
          <w:rFonts w:ascii="Times New Roman" w:hAnsi="Times New Roman"/>
          <w:i/>
          <w:sz w:val="20"/>
          <w:szCs w:val="20"/>
        </w:rPr>
        <w:t xml:space="preserve">  </w:t>
      </w:r>
      <w:r w:rsidRPr="00D400B1">
        <w:rPr>
          <w:rFonts w:ascii="Times New Roman" w:hAnsi="Times New Roman"/>
          <w:sz w:val="20"/>
          <w:szCs w:val="20"/>
        </w:rPr>
        <w:t>0000</w:t>
      </w:r>
      <w:proofErr w:type="gramEnd"/>
      <w:r w:rsidRPr="00D400B1">
        <w:rPr>
          <w:rFonts w:ascii="Times New Roman" w:hAnsi="Times New Roman"/>
          <w:sz w:val="20"/>
          <w:szCs w:val="20"/>
        </w:rPr>
        <w:t>-0002-0879-156</w:t>
      </w:r>
      <w:r w:rsidRPr="00D400B1">
        <w:rPr>
          <w:rFonts w:ascii="Times New Roman" w:hAnsi="Times New Roman"/>
          <w:sz w:val="20"/>
          <w:szCs w:val="20"/>
          <w:lang w:val="en-GB"/>
        </w:rPr>
        <w:t>X</w:t>
      </w:r>
      <w:r w:rsidRPr="00D400B1">
        <w:rPr>
          <w:rFonts w:ascii="Times New Roman" w:hAnsi="Times New Roman"/>
          <w:sz w:val="20"/>
          <w:szCs w:val="20"/>
        </w:rPr>
        <w:t xml:space="preserve">; </w:t>
      </w:r>
      <w:hyperlink r:id="rId7" w:history="1">
        <w:r w:rsidRPr="00D400B1">
          <w:rPr>
            <w:rFonts w:ascii="Times New Roman" w:hAnsi="Times New Roman"/>
            <w:color w:val="000000"/>
            <w:sz w:val="20"/>
            <w:szCs w:val="20"/>
          </w:rPr>
          <w:t>helen_zee@ukr.net</w:t>
        </w:r>
      </w:hyperlink>
      <w:r w:rsidRPr="00D400B1">
        <w:rPr>
          <w:rFonts w:ascii="Times New Roman" w:hAnsi="Times New Roman"/>
          <w:color w:val="000000"/>
          <w:sz w:val="20"/>
          <w:szCs w:val="20"/>
        </w:rPr>
        <w:t>; кандидат педагогічних наук, доцент кафедри іноземних мов; Харківський університет Повітряних сил імені Івана Кожедуба</w:t>
      </w:r>
      <w:r w:rsidRPr="00D400B1">
        <w:rPr>
          <w:rFonts w:ascii="Times New Roman" w:hAnsi="Times New Roman"/>
          <w:sz w:val="20"/>
          <w:szCs w:val="20"/>
        </w:rPr>
        <w:t>; вул. Сумська, 77/79, м. Харків, 61023, Украї</w:t>
      </w:r>
      <w:proofErr w:type="gramStart"/>
      <w:r w:rsidRPr="00D400B1">
        <w:rPr>
          <w:rFonts w:ascii="Times New Roman" w:hAnsi="Times New Roman"/>
          <w:sz w:val="20"/>
          <w:szCs w:val="20"/>
        </w:rPr>
        <w:t>на</w:t>
      </w:r>
      <w:proofErr w:type="gramEnd"/>
      <w:r w:rsidRPr="00D400B1">
        <w:rPr>
          <w:rFonts w:ascii="Times New Roman" w:hAnsi="Times New Roman"/>
          <w:sz w:val="20"/>
          <w:szCs w:val="20"/>
        </w:rPr>
        <w:t xml:space="preserve"> </w:t>
      </w:r>
    </w:p>
    <w:p w:rsidR="00D400B1" w:rsidRPr="00D400B1" w:rsidRDefault="00D400B1" w:rsidP="00D400B1">
      <w:pPr>
        <w:spacing w:after="0" w:line="240" w:lineRule="auto"/>
        <w:ind w:firstLine="567"/>
        <w:jc w:val="both"/>
        <w:rPr>
          <w:rFonts w:ascii="Times New Roman" w:hAnsi="Times New Roman"/>
          <w:color w:val="000000"/>
        </w:rPr>
      </w:pPr>
    </w:p>
    <w:p w:rsidR="00D400B1" w:rsidRPr="00D400B1" w:rsidRDefault="00D400B1" w:rsidP="00D400B1">
      <w:pPr>
        <w:spacing w:after="0" w:line="240" w:lineRule="auto"/>
        <w:ind w:firstLine="567"/>
        <w:jc w:val="both"/>
        <w:rPr>
          <w:rFonts w:ascii="Times New Roman" w:hAnsi="Times New Roman"/>
        </w:rPr>
      </w:pPr>
      <w:proofErr w:type="gramStart"/>
      <w:r w:rsidRPr="00D400B1">
        <w:rPr>
          <w:rFonts w:ascii="Times New Roman" w:hAnsi="Times New Roman"/>
        </w:rPr>
        <w:t>Уточнено суть поняття професійної компетентності майбутнього перекладача технічної літератури як його мотиваційної, когнітивної, діяльнісної, особистісної готовності здійснювати ефективний обмін інформацією в технічній галузі. Проаналізовано можливості та запропоновано шляхи використання сучасних педагогічних технологій у процесі формування професійної компетентності майбутніх перекладачів технічно</w:t>
      </w:r>
      <w:proofErr w:type="gramEnd"/>
      <w:r w:rsidRPr="00D400B1">
        <w:rPr>
          <w:rFonts w:ascii="Times New Roman" w:hAnsi="Times New Roman"/>
        </w:rPr>
        <w:t xml:space="preserve">ї </w:t>
      </w:r>
      <w:proofErr w:type="gramStart"/>
      <w:r w:rsidRPr="00D400B1">
        <w:rPr>
          <w:rFonts w:ascii="Times New Roman" w:hAnsi="Times New Roman"/>
        </w:rPr>
        <w:t>л</w:t>
      </w:r>
      <w:proofErr w:type="gramEnd"/>
      <w:r w:rsidRPr="00D400B1">
        <w:rPr>
          <w:rFonts w:ascii="Times New Roman" w:hAnsi="Times New Roman"/>
        </w:rPr>
        <w:t>ітератури.</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b/>
          <w:i/>
        </w:rPr>
        <w:t>Ключові слова</w:t>
      </w:r>
      <w:r w:rsidRPr="00D400B1">
        <w:rPr>
          <w:rFonts w:ascii="Times New Roman" w:hAnsi="Times New Roman"/>
          <w:i/>
        </w:rPr>
        <w:t>:</w:t>
      </w:r>
      <w:r w:rsidRPr="00D400B1">
        <w:rPr>
          <w:rFonts w:ascii="Times New Roman" w:hAnsi="Times New Roman"/>
        </w:rPr>
        <w:t xml:space="preserve"> перекладач, інформація, технічна література, технічний переклад, професійні компетенції, сучасні педагогічні технології, комп’ютерний словник, електронний глосарій, машинний переклад.</w:t>
      </w: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b/>
          <w:i/>
        </w:rPr>
        <w:t>Зеленская Е. Н.</w:t>
      </w:r>
      <w:r w:rsidRPr="00D400B1">
        <w:rPr>
          <w:rFonts w:ascii="Times New Roman" w:hAnsi="Times New Roman"/>
        </w:rPr>
        <w:t xml:space="preserve"> Формирование профессиональной компетентности будущих переводчиков технической литературы</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rPr>
        <w:t>Уточнено суть понятия профессиональной компетентности будущего переводчика технической литературы как его мотивационной, когнитивной, деятельностной, личностной готовности осуществлять эффективный обмен информацией в технической области. Проанализированы возможности и предложены пути использования современных педагогических технологий в процессе формирования  профессиональных компетенций будущих переводчиков технической литературы.</w:t>
      </w:r>
    </w:p>
    <w:p w:rsidR="00D400B1" w:rsidRPr="00D400B1" w:rsidRDefault="00D400B1" w:rsidP="00D400B1">
      <w:pPr>
        <w:spacing w:after="0" w:line="240" w:lineRule="auto"/>
        <w:ind w:firstLine="567"/>
        <w:jc w:val="both"/>
        <w:rPr>
          <w:rFonts w:ascii="Times New Roman" w:hAnsi="Times New Roman"/>
        </w:rPr>
      </w:pPr>
      <w:proofErr w:type="gramStart"/>
      <w:r w:rsidRPr="00D400B1">
        <w:rPr>
          <w:rFonts w:ascii="Times New Roman" w:hAnsi="Times New Roman"/>
          <w:b/>
          <w:i/>
        </w:rPr>
        <w:t>Ключевые слова</w:t>
      </w:r>
      <w:r w:rsidRPr="00D400B1">
        <w:rPr>
          <w:rFonts w:ascii="Times New Roman" w:hAnsi="Times New Roman"/>
          <w:i/>
        </w:rPr>
        <w:t>:</w:t>
      </w:r>
      <w:r w:rsidRPr="00D400B1">
        <w:rPr>
          <w:rFonts w:ascii="Times New Roman" w:hAnsi="Times New Roman"/>
        </w:rPr>
        <w:t xml:space="preserve"> переводчик, информация, техническая литература, технический перевод, профессиональные компетенции, современные педагогические технологии, компьютерный словарь, электронный глоссарий, машинный перевод.</w:t>
      </w:r>
      <w:proofErr w:type="gramEnd"/>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b/>
          <w:i/>
          <w:lang w:val="en-US"/>
        </w:rPr>
      </w:pPr>
      <w:r w:rsidRPr="00D400B1">
        <w:rPr>
          <w:rFonts w:ascii="Times New Roman" w:hAnsi="Times New Roman"/>
          <w:b/>
          <w:i/>
          <w:lang w:val="en-GB"/>
        </w:rPr>
        <w:t>O</w:t>
      </w:r>
      <w:r w:rsidRPr="00D400B1">
        <w:rPr>
          <w:rFonts w:ascii="Times New Roman" w:hAnsi="Times New Roman"/>
          <w:b/>
          <w:i/>
          <w:lang w:val="en-US"/>
        </w:rPr>
        <w:t xml:space="preserve">. </w:t>
      </w:r>
      <w:r w:rsidRPr="00D400B1">
        <w:rPr>
          <w:rFonts w:ascii="Times New Roman" w:hAnsi="Times New Roman"/>
          <w:b/>
          <w:i/>
          <w:lang w:val="en-GB"/>
        </w:rPr>
        <w:t xml:space="preserve"> Zelenska.  </w:t>
      </w:r>
      <w:r w:rsidRPr="00D400B1">
        <w:rPr>
          <w:rFonts w:ascii="Times New Roman" w:hAnsi="Times New Roman"/>
          <w:lang w:val="en-US"/>
        </w:rPr>
        <w:t>“</w:t>
      </w:r>
      <w:r w:rsidRPr="00D400B1">
        <w:rPr>
          <w:rFonts w:ascii="Times New Roman" w:hAnsi="Times New Roman"/>
          <w:lang w:val="en-GB"/>
        </w:rPr>
        <w:t>Formation of Professional Competence of Future Interpreters of Technical Literature”</w:t>
      </w:r>
    </w:p>
    <w:p w:rsidR="00D400B1" w:rsidRPr="00D400B1" w:rsidRDefault="00D400B1" w:rsidP="00D400B1">
      <w:pPr>
        <w:spacing w:after="0" w:line="240" w:lineRule="auto"/>
        <w:ind w:firstLine="567"/>
        <w:jc w:val="both"/>
        <w:rPr>
          <w:rFonts w:ascii="Times New Roman" w:hAnsi="Times New Roman"/>
          <w:lang w:val="en-GB"/>
        </w:rPr>
      </w:pPr>
      <w:r w:rsidRPr="00D400B1">
        <w:rPr>
          <w:rFonts w:ascii="Times New Roman" w:hAnsi="Times New Roman"/>
          <w:lang w:val="en-GB"/>
        </w:rPr>
        <w:t>The essence of the notion of professional competence of future interpreters of technical literature as his/her motivating, cognitive, activity and personality readiness to carry out an efficient information exchange in the technical field has been specified. The possibilities and ways of using modern pedagogical technologies in the process of formation of professional competence of future teachers of technical literature have been analysed and proposed respectively.</w:t>
      </w:r>
    </w:p>
    <w:p w:rsidR="00D400B1" w:rsidRPr="00D400B1" w:rsidRDefault="00D400B1" w:rsidP="00D400B1">
      <w:pPr>
        <w:spacing w:after="0" w:line="240" w:lineRule="auto"/>
        <w:ind w:firstLine="567"/>
        <w:jc w:val="both"/>
        <w:rPr>
          <w:rFonts w:ascii="Times New Roman" w:hAnsi="Times New Roman"/>
          <w:lang w:val="en-GB"/>
        </w:rPr>
      </w:pPr>
      <w:r w:rsidRPr="00D400B1">
        <w:rPr>
          <w:rFonts w:ascii="Times New Roman" w:hAnsi="Times New Roman"/>
          <w:b/>
          <w:i/>
          <w:lang w:val="en-GB"/>
        </w:rPr>
        <w:t>Key words:</w:t>
      </w:r>
      <w:r w:rsidRPr="00D400B1">
        <w:rPr>
          <w:rFonts w:ascii="Times New Roman" w:hAnsi="Times New Roman"/>
          <w:lang w:val="en-GB"/>
        </w:rPr>
        <w:t xml:space="preserve"> interpreter, information, technical literature, technical translation, professional competences, modern pedagogical technologies, computer dictionary, electronic glossary, machine automatic translation.</w:t>
      </w:r>
    </w:p>
    <w:p w:rsidR="00D400B1" w:rsidRPr="00D400B1" w:rsidRDefault="00D400B1" w:rsidP="00D400B1">
      <w:pPr>
        <w:spacing w:after="0" w:line="240" w:lineRule="auto"/>
        <w:ind w:firstLine="567"/>
        <w:jc w:val="both"/>
        <w:rPr>
          <w:rFonts w:ascii="Times New Roman" w:hAnsi="Times New Roman"/>
          <w:lang w:val="en-GB"/>
        </w:rPr>
      </w:pP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b/>
        </w:rPr>
        <w:t>Постановка проблеми</w:t>
      </w:r>
      <w:r w:rsidRPr="00D400B1">
        <w:rPr>
          <w:rFonts w:ascii="Times New Roman" w:hAnsi="Times New Roman"/>
        </w:rPr>
        <w:t xml:space="preserve">. Сучасне життя характеризується поширенням міжнародних зв’язків у </w:t>
      </w:r>
      <w:proofErr w:type="gramStart"/>
      <w:r w:rsidRPr="00D400B1">
        <w:rPr>
          <w:rFonts w:ascii="Times New Roman" w:hAnsi="Times New Roman"/>
        </w:rPr>
        <w:t>р</w:t>
      </w:r>
      <w:proofErr w:type="gramEnd"/>
      <w:r w:rsidRPr="00D400B1">
        <w:rPr>
          <w:rFonts w:ascii="Times New Roman" w:hAnsi="Times New Roman"/>
        </w:rPr>
        <w:t xml:space="preserve">ізноманітних сферах діяльності: культурній, науково-технічній, інженерній та інших. Зазначене актуалізує проблему якісної </w:t>
      </w:r>
      <w:proofErr w:type="gramStart"/>
      <w:r w:rsidRPr="00D400B1">
        <w:rPr>
          <w:rFonts w:ascii="Times New Roman" w:hAnsi="Times New Roman"/>
        </w:rPr>
        <w:t>п</w:t>
      </w:r>
      <w:proofErr w:type="gramEnd"/>
      <w:r w:rsidRPr="00D400B1">
        <w:rPr>
          <w:rFonts w:ascii="Times New Roman" w:hAnsi="Times New Roman"/>
        </w:rPr>
        <w:t>ідготовки майбутніх перекладачів технічної літератури.</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rPr>
        <w:t xml:space="preserve">Комплексний характер професійної діяльності перекладача технічної літератури зумовлює його </w:t>
      </w:r>
      <w:proofErr w:type="gramStart"/>
      <w:r w:rsidRPr="00D400B1">
        <w:rPr>
          <w:rFonts w:ascii="Times New Roman" w:hAnsi="Times New Roman"/>
        </w:rPr>
        <w:t>р</w:t>
      </w:r>
      <w:proofErr w:type="gramEnd"/>
      <w:r w:rsidRPr="00D400B1">
        <w:rPr>
          <w:rFonts w:ascii="Times New Roman" w:hAnsi="Times New Roman"/>
        </w:rPr>
        <w:t xml:space="preserve">ізноманітну професійну підготовку, невід’ємними компонентами якої є філологічна, соціокультурна, психолінгвістична, педагогічна, інформаційно-технічна. Зазначені компоненти професійної </w:t>
      </w:r>
      <w:proofErr w:type="gramStart"/>
      <w:r w:rsidRPr="00D400B1">
        <w:rPr>
          <w:rFonts w:ascii="Times New Roman" w:hAnsi="Times New Roman"/>
        </w:rPr>
        <w:t>п</w:t>
      </w:r>
      <w:proofErr w:type="gramEnd"/>
      <w:r w:rsidRPr="00D400B1">
        <w:rPr>
          <w:rFonts w:ascii="Times New Roman" w:hAnsi="Times New Roman"/>
        </w:rPr>
        <w:t>ідготовки є основою формування професійної компетентності перекладача технічної літератури.</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rPr>
        <w:lastRenderedPageBreak/>
        <w:t xml:space="preserve">Проте проблема теоретичного обґрунтування та практичного запровадження технології формування професійної компетентності майбутніх перекладачів технічної літератури ще не була предметом спеціального </w:t>
      </w:r>
      <w:proofErr w:type="gramStart"/>
      <w:r w:rsidRPr="00D400B1">
        <w:rPr>
          <w:rFonts w:ascii="Times New Roman" w:hAnsi="Times New Roman"/>
        </w:rPr>
        <w:t>досл</w:t>
      </w:r>
      <w:proofErr w:type="gramEnd"/>
      <w:r w:rsidRPr="00D400B1">
        <w:rPr>
          <w:rFonts w:ascii="Times New Roman" w:hAnsi="Times New Roman"/>
        </w:rPr>
        <w:t>ідження.</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b/>
        </w:rPr>
        <w:t xml:space="preserve">Аналіз останніх </w:t>
      </w:r>
      <w:proofErr w:type="gramStart"/>
      <w:r w:rsidRPr="00D400B1">
        <w:rPr>
          <w:rFonts w:ascii="Times New Roman" w:hAnsi="Times New Roman"/>
          <w:b/>
        </w:rPr>
        <w:t>досл</w:t>
      </w:r>
      <w:proofErr w:type="gramEnd"/>
      <w:r w:rsidRPr="00D400B1">
        <w:rPr>
          <w:rFonts w:ascii="Times New Roman" w:hAnsi="Times New Roman"/>
          <w:b/>
        </w:rPr>
        <w:t xml:space="preserve">іджень. </w:t>
      </w:r>
      <w:r w:rsidRPr="00D400B1">
        <w:rPr>
          <w:rFonts w:ascii="Times New Roman" w:hAnsi="Times New Roman"/>
        </w:rPr>
        <w:t xml:space="preserve">Загальні питання професійної </w:t>
      </w:r>
      <w:proofErr w:type="gramStart"/>
      <w:r w:rsidRPr="00D400B1">
        <w:rPr>
          <w:rFonts w:ascii="Times New Roman" w:hAnsi="Times New Roman"/>
        </w:rPr>
        <w:t>п</w:t>
      </w:r>
      <w:proofErr w:type="gramEnd"/>
      <w:r w:rsidRPr="00D400B1">
        <w:rPr>
          <w:rFonts w:ascii="Times New Roman" w:hAnsi="Times New Roman"/>
        </w:rPr>
        <w:t>ідготовки та діяльності перекладачів розкриті в наукових працях О. Мартинюк, Г. Мирам, І. Сімкової. Проблеми, що стосуються формування професійної компетентності перекладачів, є в фокусі досліджень А. Гурвич, М. Орел, О. Чередніченко. Особливості набуття фахової освіти майбутніми перекладачами технічної літератури вивчали Є. Пизіна, Д. Вишняускене, Ж. Лечицька.</w:t>
      </w:r>
    </w:p>
    <w:p w:rsidR="00D400B1" w:rsidRPr="00D400B1" w:rsidRDefault="00D400B1" w:rsidP="00D400B1">
      <w:pPr>
        <w:spacing w:after="0" w:line="240" w:lineRule="auto"/>
        <w:ind w:firstLine="567"/>
        <w:jc w:val="both"/>
        <w:rPr>
          <w:rFonts w:ascii="Times New Roman" w:hAnsi="Times New Roman"/>
          <w:b/>
        </w:rPr>
      </w:pPr>
      <w:r w:rsidRPr="00D400B1">
        <w:rPr>
          <w:rFonts w:ascii="Times New Roman" w:hAnsi="Times New Roman"/>
        </w:rPr>
        <w:t xml:space="preserve">Тож компетентнісний </w:t>
      </w:r>
      <w:proofErr w:type="gramStart"/>
      <w:r w:rsidRPr="00D400B1">
        <w:rPr>
          <w:rFonts w:ascii="Times New Roman" w:hAnsi="Times New Roman"/>
        </w:rPr>
        <w:t>п</w:t>
      </w:r>
      <w:proofErr w:type="gramEnd"/>
      <w:r w:rsidRPr="00D400B1">
        <w:rPr>
          <w:rFonts w:ascii="Times New Roman" w:hAnsi="Times New Roman"/>
        </w:rPr>
        <w:t xml:space="preserve">ідхід до вирішення теоретичних і практичних питань професійної підготовки майбутніх перекладачів представлений у науковій літературі досить широко. Проте бракує </w:t>
      </w:r>
      <w:proofErr w:type="gramStart"/>
      <w:r w:rsidRPr="00D400B1">
        <w:rPr>
          <w:rFonts w:ascii="Times New Roman" w:hAnsi="Times New Roman"/>
        </w:rPr>
        <w:t>досл</w:t>
      </w:r>
      <w:proofErr w:type="gramEnd"/>
      <w:r w:rsidRPr="00D400B1">
        <w:rPr>
          <w:rFonts w:ascii="Times New Roman" w:hAnsi="Times New Roman"/>
        </w:rPr>
        <w:t>іджень, у яких основні положення компетентнісного підходу знайшли б практичну реалізацію в межах технологічного підходу до фахової підготовки майбутніх технічних перекладачів.</w:t>
      </w:r>
      <w:r w:rsidRPr="00D400B1">
        <w:rPr>
          <w:rFonts w:ascii="Times New Roman" w:hAnsi="Times New Roman"/>
          <w:b/>
        </w:rPr>
        <w:t xml:space="preserve"> </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b/>
        </w:rPr>
        <w:t>Мета статті</w:t>
      </w:r>
      <w:r w:rsidRPr="00D400B1">
        <w:rPr>
          <w:rFonts w:ascii="Times New Roman" w:hAnsi="Times New Roman"/>
        </w:rPr>
        <w:t xml:space="preserve"> полягає в уточненні сутності, змісту і технологій формування професійної компетентності майбутніх перекладачів технічної літератури.</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b/>
        </w:rPr>
        <w:t xml:space="preserve">Виклад основного </w:t>
      </w:r>
      <w:proofErr w:type="gramStart"/>
      <w:r w:rsidRPr="00D400B1">
        <w:rPr>
          <w:rFonts w:ascii="Times New Roman" w:hAnsi="Times New Roman"/>
          <w:b/>
        </w:rPr>
        <w:t>матер</w:t>
      </w:r>
      <w:proofErr w:type="gramEnd"/>
      <w:r w:rsidRPr="00D400B1">
        <w:rPr>
          <w:rFonts w:ascii="Times New Roman" w:hAnsi="Times New Roman"/>
          <w:b/>
        </w:rPr>
        <w:t>іалу</w:t>
      </w:r>
      <w:r w:rsidRPr="00D400B1">
        <w:rPr>
          <w:rFonts w:ascii="Times New Roman" w:hAnsi="Times New Roman"/>
        </w:rPr>
        <w:t xml:space="preserve">. Вважаємо за </w:t>
      </w:r>
      <w:proofErr w:type="gramStart"/>
      <w:r w:rsidRPr="00D400B1">
        <w:rPr>
          <w:rFonts w:ascii="Times New Roman" w:hAnsi="Times New Roman"/>
        </w:rPr>
        <w:t>доц</w:t>
      </w:r>
      <w:proofErr w:type="gramEnd"/>
      <w:r w:rsidRPr="00D400B1">
        <w:rPr>
          <w:rFonts w:ascii="Times New Roman" w:hAnsi="Times New Roman"/>
        </w:rPr>
        <w:t xml:space="preserve">ільне обґрунтуванню технології формуванню професійної компетентності передувати аналіз змісту професійної діяльності майбутніх перекладачів технічної літератури, що й визначає структуру професійної компетентності. Так, нормативні основи формування професійної компетентності майбутнього перекладача технічної літератури, зокрема стандарти мовної компетенції, комунікативних знань і вмінь перекладача закладено у документі «Загальноєвропейські компетенції володіння іноземною мовою: вивчення, навчання, оцінювання» </w:t>
      </w:r>
      <w:proofErr w:type="gramStart"/>
      <w:r w:rsidRPr="00D400B1">
        <w:rPr>
          <w:rFonts w:ascii="Times New Roman" w:hAnsi="Times New Roman"/>
        </w:rPr>
        <w:t xml:space="preserve">( </w:t>
      </w:r>
      <w:proofErr w:type="gramEnd"/>
      <w:r w:rsidRPr="00D400B1">
        <w:rPr>
          <w:rFonts w:ascii="Times New Roman" w:hAnsi="Times New Roman"/>
        </w:rPr>
        <w:t>2001 р.).</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rPr>
        <w:t>У науковій літературі професійну компетентність трактують</w:t>
      </w:r>
      <w:r w:rsidRPr="00D400B1">
        <w:rPr>
          <w:rFonts w:ascii="Times New Roman" w:hAnsi="Times New Roman"/>
          <w:i/>
        </w:rPr>
        <w:t xml:space="preserve"> </w:t>
      </w:r>
      <w:r w:rsidRPr="00D400B1">
        <w:rPr>
          <w:rFonts w:ascii="Times New Roman" w:hAnsi="Times New Roman"/>
        </w:rPr>
        <w:t>як</w:t>
      </w:r>
      <w:r w:rsidRPr="00D400B1">
        <w:rPr>
          <w:rFonts w:ascii="Times New Roman" w:hAnsi="Times New Roman"/>
          <w:i/>
        </w:rPr>
        <w:t xml:space="preserve"> </w:t>
      </w:r>
      <w:r w:rsidRPr="00D400B1">
        <w:rPr>
          <w:rFonts w:ascii="Times New Roman" w:hAnsi="Times New Roman"/>
        </w:rPr>
        <w:t xml:space="preserve">сукупність комунікативних, організаторських умінь фахівця (В. Сластьонін), поінформованість, обізнаність професіонала (О. Мельничук). Одним із провідних факторів успішної фахової діяльності вчені вважають особистісний аспект професійної компетентності (Ю. Кулюткін, В. Сухомлинський). З. </w:t>
      </w:r>
      <w:proofErr w:type="gramStart"/>
      <w:r w:rsidRPr="00D400B1">
        <w:rPr>
          <w:rFonts w:ascii="Times New Roman" w:hAnsi="Times New Roman"/>
        </w:rPr>
        <w:t>П</w:t>
      </w:r>
      <w:proofErr w:type="gramEnd"/>
      <w:r w:rsidRPr="00D400B1">
        <w:rPr>
          <w:rFonts w:ascii="Times New Roman" w:hAnsi="Times New Roman"/>
        </w:rPr>
        <w:t>ідручна виокремила такі складові професійної компетентності перекладача, як лінгвістична (лексична, граматична, семантична), професійно-комунікативна (дискурсивна), соціально-психологічна, спеціальна, наочна, країнознавча, творча, дослідницька компетенції, а також професійно-значущі особистісні якості перекладача.</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rPr>
        <w:t>У визначенні суті та структури професійно-перекладацьких компетентності зарубіжні науковці виокремлюють такі важливі складові, як предметна компетенція (</w:t>
      </w:r>
      <w:r w:rsidRPr="00D400B1">
        <w:rPr>
          <w:rFonts w:ascii="Times New Roman" w:hAnsi="Times New Roman"/>
          <w:lang w:val="en-US"/>
        </w:rPr>
        <w:t>subject</w:t>
      </w:r>
      <w:r w:rsidRPr="00D400B1">
        <w:rPr>
          <w:rFonts w:ascii="Times New Roman" w:hAnsi="Times New Roman"/>
        </w:rPr>
        <w:t xml:space="preserve"> </w:t>
      </w:r>
      <w:r w:rsidRPr="00D400B1">
        <w:rPr>
          <w:rFonts w:ascii="Times New Roman" w:hAnsi="Times New Roman"/>
          <w:lang w:val="en-US"/>
        </w:rPr>
        <w:t>matter</w:t>
      </w:r>
      <w:r w:rsidRPr="00D400B1">
        <w:rPr>
          <w:rFonts w:ascii="Times New Roman" w:hAnsi="Times New Roman"/>
        </w:rPr>
        <w:t>), тематична компетенція (</w:t>
      </w:r>
      <w:r w:rsidRPr="00D400B1">
        <w:rPr>
          <w:rFonts w:ascii="Times New Roman" w:hAnsi="Times New Roman"/>
          <w:lang w:val="en-US"/>
        </w:rPr>
        <w:t>thematic</w:t>
      </w:r>
      <w:r w:rsidRPr="00D400B1">
        <w:rPr>
          <w:rFonts w:ascii="Times New Roman" w:hAnsi="Times New Roman"/>
        </w:rPr>
        <w:t xml:space="preserve"> </w:t>
      </w:r>
      <w:r w:rsidRPr="00D400B1">
        <w:rPr>
          <w:rFonts w:ascii="Times New Roman" w:hAnsi="Times New Roman"/>
          <w:lang w:val="en-US"/>
        </w:rPr>
        <w:t>competence</w:t>
      </w:r>
      <w:r w:rsidRPr="00D400B1">
        <w:rPr>
          <w:rFonts w:ascii="Times New Roman" w:hAnsi="Times New Roman"/>
        </w:rPr>
        <w:t>). Зазначені компетенції забезпечуються наявністю знань у сфері майбутньої професійної діяльності (</w:t>
      </w:r>
      <w:r w:rsidRPr="00D400B1">
        <w:rPr>
          <w:rFonts w:ascii="Times New Roman" w:hAnsi="Times New Roman"/>
          <w:lang w:val="en-US"/>
        </w:rPr>
        <w:t>subject</w:t>
      </w:r>
      <w:r w:rsidRPr="00D400B1">
        <w:rPr>
          <w:rFonts w:ascii="Times New Roman" w:hAnsi="Times New Roman"/>
        </w:rPr>
        <w:t xml:space="preserve"> </w:t>
      </w:r>
      <w:r w:rsidRPr="00D400B1">
        <w:rPr>
          <w:rFonts w:ascii="Times New Roman" w:hAnsi="Times New Roman"/>
          <w:lang w:val="en-US"/>
        </w:rPr>
        <w:t>matter</w:t>
      </w:r>
      <w:r w:rsidRPr="00D400B1">
        <w:rPr>
          <w:rFonts w:ascii="Times New Roman" w:hAnsi="Times New Roman"/>
        </w:rPr>
        <w:t xml:space="preserve"> </w:t>
      </w:r>
      <w:r w:rsidRPr="00D400B1">
        <w:rPr>
          <w:rFonts w:ascii="Times New Roman" w:hAnsi="Times New Roman"/>
          <w:lang w:val="en-US"/>
        </w:rPr>
        <w:t>knowledge</w:t>
      </w:r>
      <w:r w:rsidRPr="00D400B1">
        <w:rPr>
          <w:rFonts w:ascii="Times New Roman" w:hAnsi="Times New Roman"/>
        </w:rPr>
        <w:t>), декларативних знань (</w:t>
      </w:r>
      <w:r w:rsidRPr="00D400B1">
        <w:rPr>
          <w:rFonts w:ascii="Times New Roman" w:hAnsi="Times New Roman"/>
          <w:lang w:val="en-US"/>
        </w:rPr>
        <w:t>declarative</w:t>
      </w:r>
      <w:r w:rsidRPr="00D400B1">
        <w:rPr>
          <w:rFonts w:ascii="Times New Roman" w:hAnsi="Times New Roman"/>
        </w:rPr>
        <w:t xml:space="preserve"> </w:t>
      </w:r>
      <w:r w:rsidRPr="00D400B1">
        <w:rPr>
          <w:rFonts w:ascii="Times New Roman" w:hAnsi="Times New Roman"/>
          <w:lang w:val="en-US"/>
        </w:rPr>
        <w:t>knowledge</w:t>
      </w:r>
      <w:r w:rsidRPr="00D400B1">
        <w:rPr>
          <w:rFonts w:ascii="Times New Roman" w:hAnsi="Times New Roman"/>
        </w:rPr>
        <w:t>) стосовно кон’юнктури ринкових послуг, процесуальних знань (</w:t>
      </w:r>
      <w:r w:rsidRPr="00D400B1">
        <w:rPr>
          <w:rFonts w:ascii="Times New Roman" w:hAnsi="Times New Roman"/>
          <w:lang w:val="en-US"/>
        </w:rPr>
        <w:t>procedural</w:t>
      </w:r>
      <w:r w:rsidRPr="00D400B1">
        <w:rPr>
          <w:rFonts w:ascii="Times New Roman" w:hAnsi="Times New Roman"/>
        </w:rPr>
        <w:t xml:space="preserve">  </w:t>
      </w:r>
      <w:r w:rsidRPr="00D400B1">
        <w:rPr>
          <w:rFonts w:ascii="Times New Roman" w:hAnsi="Times New Roman"/>
          <w:lang w:val="en-US"/>
        </w:rPr>
        <w:t>knowledge</w:t>
      </w:r>
      <w:r w:rsidRPr="00D400B1">
        <w:rPr>
          <w:rFonts w:ascii="Times New Roman" w:hAnsi="Times New Roman"/>
        </w:rPr>
        <w:t>) про особливості професійного перекладу. За стандартами міжнародного проекту «Європейський магі</w:t>
      </w:r>
      <w:proofErr w:type="gramStart"/>
      <w:r w:rsidRPr="00D400B1">
        <w:rPr>
          <w:rFonts w:ascii="Times New Roman" w:hAnsi="Times New Roman"/>
        </w:rPr>
        <w:t>стр</w:t>
      </w:r>
      <w:proofErr w:type="gramEnd"/>
      <w:r w:rsidRPr="00D400B1">
        <w:rPr>
          <w:rFonts w:ascii="Times New Roman" w:hAnsi="Times New Roman"/>
        </w:rPr>
        <w:t xml:space="preserve"> перекладу» професійними компетенціями перекладача є мовна, міжкультурна, інформаційно-пошукова, тематична, технологічна [1; 2; 3]. </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rPr>
        <w:t xml:space="preserve">На думку вітчизняних науковців, професійна компетентність перекладача включає такі компетенції: мовну, текстотвірну, комунікативну, особистісну, професійно-технічну. Так, мовна компетенція передбачає знання системи, норм, правил, лексики та граматики вихідної та цільової мов. Текстотвірна компетенція полягає у здатності продукувати аутентичні тексти </w:t>
      </w:r>
      <w:proofErr w:type="gramStart"/>
      <w:r w:rsidRPr="00D400B1">
        <w:rPr>
          <w:rFonts w:ascii="Times New Roman" w:hAnsi="Times New Roman"/>
        </w:rPr>
        <w:t>на</w:t>
      </w:r>
      <w:proofErr w:type="gramEnd"/>
      <w:r w:rsidRPr="00D400B1">
        <w:rPr>
          <w:rFonts w:ascii="Times New Roman" w:hAnsi="Times New Roman"/>
        </w:rPr>
        <w:t xml:space="preserve"> основі мовних одиниць і мовних висловлень. Комунікативна компетенція передбачає вміння адекватно транслювати та засвоювати іншомовну інформацію, комунікативно-функціональну еквівалентність текстів оригіналу та перекладу. Особистісну готовність до перекладацької діяльності забезпечують ерудованість, добра </w:t>
      </w:r>
      <w:proofErr w:type="gramStart"/>
      <w:r w:rsidRPr="00D400B1">
        <w:rPr>
          <w:rFonts w:ascii="Times New Roman" w:hAnsi="Times New Roman"/>
        </w:rPr>
        <w:t>пам’ять</w:t>
      </w:r>
      <w:proofErr w:type="gramEnd"/>
      <w:r w:rsidRPr="00D400B1">
        <w:rPr>
          <w:rFonts w:ascii="Times New Roman" w:hAnsi="Times New Roman"/>
        </w:rPr>
        <w:t xml:space="preserve">, необхідні якості мислення (гнучкість, обачність, широта, критичність), здатність до самоосвіти, саморозвитку. Технічна компетенція інтегрує знання, вміння та навички, необхідні для виконання певного види діяльності. </w:t>
      </w:r>
    </w:p>
    <w:p w:rsidR="00D400B1" w:rsidRPr="00D400B1" w:rsidRDefault="00D400B1" w:rsidP="00D400B1">
      <w:pPr>
        <w:spacing w:after="0" w:line="240" w:lineRule="auto"/>
        <w:ind w:firstLine="567"/>
        <w:jc w:val="both"/>
        <w:rPr>
          <w:rFonts w:ascii="Times New Roman" w:hAnsi="Times New Roman"/>
        </w:rPr>
      </w:pPr>
      <w:proofErr w:type="gramStart"/>
      <w:r w:rsidRPr="00D400B1">
        <w:rPr>
          <w:rFonts w:ascii="Times New Roman" w:hAnsi="Times New Roman"/>
        </w:rPr>
        <w:lastRenderedPageBreak/>
        <w:t>Досл</w:t>
      </w:r>
      <w:proofErr w:type="gramEnd"/>
      <w:r w:rsidRPr="00D400B1">
        <w:rPr>
          <w:rFonts w:ascii="Times New Roman" w:hAnsi="Times New Roman"/>
        </w:rPr>
        <w:t xml:space="preserve">ідник М. Орел вважає, що формування професійної компетентності перекладача повинно бути спрямоване на забезпечення таких основних функцій, як-то: письмова та усна комунікація у певних сферах діяльності; застосування сучасних методів збирання та оброблення інформації, використання глобальних інформаційних мереж, автоматизованих пошукових систем, електронних баз даних, глосаріїв та довідників, проведення наукових </w:t>
      </w:r>
      <w:proofErr w:type="gramStart"/>
      <w:r w:rsidRPr="00D400B1">
        <w:rPr>
          <w:rFonts w:ascii="Times New Roman" w:hAnsi="Times New Roman"/>
        </w:rPr>
        <w:t>досл</w:t>
      </w:r>
      <w:proofErr w:type="gramEnd"/>
      <w:r w:rsidRPr="00D400B1">
        <w:rPr>
          <w:rFonts w:ascii="Times New Roman" w:hAnsi="Times New Roman"/>
        </w:rPr>
        <w:t>іджень у сфері професійної діяльності. На думку дослідника, структуру професійної компетенції перекладача технічної літератури можна представити у вигляді схеми (рис. 1).</w:t>
      </w: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noProof/>
        </w:rPr>
        <w:pict>
          <v:group id="_x0000_s1048" style="position:absolute;left:0;text-align:left;margin-left:15.1pt;margin-top:3.15pt;width:427.55pt;height:262.5pt;z-index:251658240" coordorigin="1588,3665" coordsize="8853,5533">
            <v:shapetype id="_x0000_t202" coordsize="21600,21600" o:spt="202" path="m,l,21600r21600,l21600,xe">
              <v:stroke joinstyle="miter"/>
              <v:path gradientshapeok="t" o:connecttype="rect"/>
            </v:shapetype>
            <v:shape id="_x0000_s1049" type="#_x0000_t202" style="position:absolute;left:4468;top:3665;width:2913;height:720">
              <v:textbox style="mso-next-textbox:#_x0000_s1049">
                <w:txbxContent>
                  <w:p w:rsidR="00D400B1" w:rsidRPr="004F6473" w:rsidRDefault="00D400B1" w:rsidP="00D400B1">
                    <w:pPr>
                      <w:spacing w:line="240" w:lineRule="auto"/>
                      <w:jc w:val="center"/>
                      <w:rPr>
                        <w:rFonts w:ascii="Times New Roman" w:hAnsi="Times New Roman"/>
                        <w:sz w:val="21"/>
                        <w:szCs w:val="21"/>
                      </w:rPr>
                    </w:pPr>
                    <w:r w:rsidRPr="004F6473">
                      <w:rPr>
                        <w:rFonts w:ascii="Times New Roman" w:hAnsi="Times New Roman"/>
                        <w:sz w:val="21"/>
                        <w:szCs w:val="21"/>
                      </w:rPr>
                      <w:t xml:space="preserve">Професійна компетентність перекладача </w:t>
                    </w:r>
                  </w:p>
                </w:txbxContent>
              </v:textbox>
            </v:shape>
            <v:shape id="_x0000_s1050" type="#_x0000_t202" style="position:absolute;left:1588;top:4926;width:2700;height:624">
              <v:textbox style="mso-next-textbox:#_x0000_s1050">
                <w:txbxContent>
                  <w:p w:rsidR="00D400B1" w:rsidRPr="004F6473" w:rsidRDefault="00D400B1" w:rsidP="00D400B1">
                    <w:pPr>
                      <w:spacing w:line="240" w:lineRule="auto"/>
                      <w:jc w:val="center"/>
                      <w:rPr>
                        <w:rFonts w:ascii="Times New Roman" w:hAnsi="Times New Roman"/>
                        <w:sz w:val="24"/>
                        <w:szCs w:val="24"/>
                      </w:rPr>
                    </w:pPr>
                    <w:r>
                      <w:rPr>
                        <w:sz w:val="24"/>
                        <w:szCs w:val="24"/>
                      </w:rPr>
                      <w:t>Ба</w:t>
                    </w:r>
                    <w:r w:rsidRPr="004F6473">
                      <w:rPr>
                        <w:rFonts w:ascii="Times New Roman" w:hAnsi="Times New Roman"/>
                        <w:sz w:val="24"/>
                        <w:szCs w:val="24"/>
                      </w:rPr>
                      <w:t xml:space="preserve">зові </w:t>
                    </w:r>
                  </w:p>
                </w:txbxContent>
              </v:textbox>
            </v:shape>
            <v:shape id="_x0000_s1051" type="#_x0000_t202" style="position:absolute;left:7528;top:4926;width:2880;height:624">
              <v:textbox style="mso-next-textbox:#_x0000_s1051">
                <w:txbxContent>
                  <w:p w:rsidR="00D400B1" w:rsidRPr="004F6473" w:rsidRDefault="00D400B1" w:rsidP="00D400B1">
                    <w:pPr>
                      <w:spacing w:line="240" w:lineRule="auto"/>
                      <w:jc w:val="center"/>
                      <w:rPr>
                        <w:rFonts w:ascii="Times New Roman" w:hAnsi="Times New Roman"/>
                        <w:sz w:val="24"/>
                        <w:szCs w:val="24"/>
                      </w:rPr>
                    </w:pPr>
                    <w:proofErr w:type="gramStart"/>
                    <w:r w:rsidRPr="004F6473">
                      <w:rPr>
                        <w:rFonts w:ascii="Times New Roman" w:hAnsi="Times New Roman"/>
                        <w:sz w:val="24"/>
                        <w:szCs w:val="24"/>
                      </w:rPr>
                      <w:t>Спец</w:t>
                    </w:r>
                    <w:proofErr w:type="gramEnd"/>
                    <w:r w:rsidRPr="004F6473">
                      <w:rPr>
                        <w:rFonts w:ascii="Times New Roman" w:hAnsi="Times New Roman"/>
                        <w:sz w:val="24"/>
                        <w:szCs w:val="24"/>
                      </w:rPr>
                      <w:t>іальні</w:t>
                    </w:r>
                  </w:p>
                </w:txbxContent>
              </v:textbox>
            </v:shape>
            <v:shape id="_x0000_s1052" type="#_x0000_t202" style="position:absolute;left:1588;top:6006;width:2733;height:2409">
              <v:textbox style="mso-next-textbox:#_x0000_s1052">
                <w:txbxContent>
                  <w:p w:rsidR="00D400B1" w:rsidRPr="004F6473" w:rsidRDefault="00D400B1" w:rsidP="00D400B1">
                    <w:pPr>
                      <w:spacing w:line="240" w:lineRule="auto"/>
                      <w:rPr>
                        <w:rFonts w:ascii="Times New Roman" w:hAnsi="Times New Roman"/>
                        <w:sz w:val="20"/>
                        <w:szCs w:val="20"/>
                      </w:rPr>
                    </w:pPr>
                    <w:r w:rsidRPr="004F6473">
                      <w:rPr>
                        <w:rFonts w:ascii="Times New Roman" w:hAnsi="Times New Roman"/>
                        <w:sz w:val="20"/>
                        <w:szCs w:val="20"/>
                      </w:rPr>
                      <w:t xml:space="preserve">Знання, уміння та навички, які необхідні перекладачеві для здійснення </w:t>
                    </w:r>
                    <w:proofErr w:type="gramStart"/>
                    <w:r w:rsidRPr="004F6473">
                      <w:rPr>
                        <w:rFonts w:ascii="Times New Roman" w:hAnsi="Times New Roman"/>
                        <w:sz w:val="20"/>
                        <w:szCs w:val="20"/>
                      </w:rPr>
                      <w:t>вс</w:t>
                    </w:r>
                    <w:proofErr w:type="gramEnd"/>
                    <w:r w:rsidRPr="004F6473">
                      <w:rPr>
                        <w:rFonts w:ascii="Times New Roman" w:hAnsi="Times New Roman"/>
                        <w:sz w:val="20"/>
                        <w:szCs w:val="20"/>
                      </w:rPr>
                      <w:t>іх видів перекладу (письмовий або усний) незалежно від жанру тексту (науково-технічний, діловий, газетно-публіцистичний)</w:t>
                    </w:r>
                  </w:p>
                </w:txbxContent>
              </v:textbox>
            </v:shape>
            <v:shape id="_x0000_s1053" type="#_x0000_t202" style="position:absolute;left:4468;top:6006;width:2913;height:2409">
              <v:textbox style="mso-next-textbox:#_x0000_s1053">
                <w:txbxContent>
                  <w:p w:rsidR="00D400B1" w:rsidRPr="004F6473" w:rsidRDefault="00D400B1" w:rsidP="00D400B1">
                    <w:pPr>
                      <w:spacing w:line="240" w:lineRule="auto"/>
                      <w:jc w:val="center"/>
                      <w:rPr>
                        <w:rFonts w:ascii="Times New Roman" w:hAnsi="Times New Roman"/>
                        <w:sz w:val="20"/>
                        <w:szCs w:val="20"/>
                      </w:rPr>
                    </w:pPr>
                    <w:r w:rsidRPr="004F6473">
                      <w:rPr>
                        <w:rFonts w:ascii="Times New Roman" w:hAnsi="Times New Roman"/>
                        <w:sz w:val="20"/>
                        <w:szCs w:val="20"/>
                      </w:rPr>
                      <w:t xml:space="preserve">Знання, уміння та навички, які необхідні перекладачеві в одному або декількох споріднених видах пере-кладу (письмовому, зорово-усному, абзацно-фразовому, </w:t>
                    </w:r>
                    <w:proofErr w:type="gramStart"/>
                    <w:r w:rsidRPr="004F6473">
                      <w:rPr>
                        <w:rFonts w:ascii="Times New Roman" w:hAnsi="Times New Roman"/>
                        <w:sz w:val="20"/>
                        <w:szCs w:val="20"/>
                      </w:rPr>
                      <w:t>посл</w:t>
                    </w:r>
                    <w:proofErr w:type="gramEnd"/>
                    <w:r w:rsidRPr="004F6473">
                      <w:rPr>
                        <w:rFonts w:ascii="Times New Roman" w:hAnsi="Times New Roman"/>
                        <w:sz w:val="20"/>
                        <w:szCs w:val="20"/>
                      </w:rPr>
                      <w:t>ідов-ному, синхронному)</w:t>
                    </w:r>
                  </w:p>
                </w:txbxContent>
              </v:textbox>
            </v:shape>
            <v:shape id="_x0000_s1054" type="#_x0000_t202" style="position:absolute;left:7528;top:6004;width:2913;height:2411">
              <v:textbox style="mso-next-textbox:#_x0000_s1054">
                <w:txbxContent>
                  <w:p w:rsidR="00D400B1" w:rsidRPr="004F6473" w:rsidRDefault="00D400B1" w:rsidP="00D400B1">
                    <w:pPr>
                      <w:spacing w:line="240" w:lineRule="auto"/>
                      <w:jc w:val="center"/>
                      <w:rPr>
                        <w:rFonts w:ascii="Times New Roman" w:hAnsi="Times New Roman"/>
                        <w:sz w:val="20"/>
                        <w:szCs w:val="20"/>
                      </w:rPr>
                    </w:pPr>
                    <w:r w:rsidRPr="004F6473">
                      <w:rPr>
                        <w:rFonts w:ascii="Times New Roman" w:hAnsi="Times New Roman"/>
                        <w:sz w:val="20"/>
                        <w:szCs w:val="20"/>
                      </w:rPr>
                      <w:t>Елементи, необхі</w:t>
                    </w:r>
                    <w:proofErr w:type="gramStart"/>
                    <w:r w:rsidRPr="004F6473">
                      <w:rPr>
                        <w:rFonts w:ascii="Times New Roman" w:hAnsi="Times New Roman"/>
                        <w:sz w:val="20"/>
                        <w:szCs w:val="20"/>
                      </w:rPr>
                      <w:t>дні у</w:t>
                    </w:r>
                    <w:proofErr w:type="gramEnd"/>
                    <w:r w:rsidRPr="004F6473">
                      <w:rPr>
                        <w:rFonts w:ascii="Times New Roman" w:hAnsi="Times New Roman"/>
                        <w:sz w:val="20"/>
                        <w:szCs w:val="20"/>
                      </w:rPr>
                      <w:t xml:space="preserve"> перекладі текстів конкретного жанру і стилю: юридичних, економічних,  науково-технічних, художніх, медичних </w:t>
                    </w:r>
                  </w:p>
                </w:txbxContent>
              </v:textbox>
            </v:shape>
            <v:shape id="_x0000_s1055" type="#_x0000_t202" style="position:absolute;left:1588;top:8707;width:8820;height:491">
              <v:textbox style="mso-next-textbox:#_x0000_s1055">
                <w:txbxContent>
                  <w:p w:rsidR="00D400B1" w:rsidRPr="00D7120E" w:rsidRDefault="00D400B1" w:rsidP="00D400B1">
                    <w:pPr>
                      <w:spacing w:line="240" w:lineRule="auto"/>
                      <w:jc w:val="center"/>
                      <w:rPr>
                        <w:sz w:val="20"/>
                        <w:szCs w:val="20"/>
                      </w:rPr>
                    </w:pPr>
                    <w:r w:rsidRPr="00D7120E">
                      <w:rPr>
                        <w:sz w:val="20"/>
                        <w:szCs w:val="20"/>
                      </w:rPr>
                      <w:t>Особистісний розвиток перекладача</w:t>
                    </w:r>
                  </w:p>
                </w:txbxContent>
              </v:textbox>
            </v:shape>
            <v:shapetype id="_x0000_t32" coordsize="21600,21600" o:spt="32" o:oned="t" path="m,l21600,21600e" filled="f">
              <v:path arrowok="t" fillok="f" o:connecttype="none"/>
              <o:lock v:ext="edit" shapetype="t"/>
            </v:shapetype>
            <v:shape id="_x0000_s1056" type="#_x0000_t32" style="position:absolute;left:6268;top:4385;width:2520;height:540" o:connectortype="straight">
              <v:stroke endarrow="block"/>
            </v:shape>
            <v:shape id="_x0000_s1057" type="#_x0000_t32" style="position:absolute;left:5908;top:4385;width:0;height:567" o:connectortype="straight">
              <v:stroke endarrow="block"/>
            </v:shape>
            <v:shape id="_x0000_s1058" type="#_x0000_t32" style="position:absolute;left:2128;top:4385;width:3115;height:540;flip:x" o:connectortype="straight">
              <v:stroke endarrow="block"/>
            </v:shape>
            <v:shape id="_x0000_s1059" type="#_x0000_t32" style="position:absolute;left:2848;top:5552;width:0;height:454" o:connectortype="straight">
              <v:stroke endarrow="block"/>
            </v:shape>
            <v:shape id="_x0000_s1060" type="#_x0000_t32" style="position:absolute;left:5908;top:5550;width:0;height:454" o:connectortype="straight">
              <v:stroke endarrow="block"/>
            </v:shape>
            <v:shape id="_x0000_s1061" type="#_x0000_t32" style="position:absolute;left:8968;top:5552;width:17;height:454" o:connectortype="straight">
              <v:stroke endarrow="block"/>
            </v:shape>
            <v:shape id="_x0000_s1062" type="#_x0000_t32" style="position:absolute;left:2437;top:8415;width:17;height:218" o:connectortype="straight">
              <v:stroke endarrow="block"/>
            </v:shape>
            <v:shape id="_x0000_s1063" type="#_x0000_t32" style="position:absolute;left:3208;top:8414;width:0;height:218;flip:y" o:connectortype="straight">
              <v:stroke endarrow="block"/>
            </v:shape>
            <v:shape id="_x0000_s1064" type="#_x0000_t32" style="position:absolute;left:5025;top:8414;width:17;height:218" o:connectortype="straight">
              <v:stroke endarrow="block"/>
            </v:shape>
            <v:shape id="_x0000_s1065" type="#_x0000_t32" style="position:absolute;left:6628;top:8414;width:0;height:218;flip:y" o:connectortype="straight">
              <v:stroke endarrow="block"/>
            </v:shape>
            <v:shape id="_x0000_s1066" type="#_x0000_t32" style="position:absolute;left:8248;top:8414;width:0;height:218" o:connectortype="straight">
              <v:stroke endarrow="block"/>
            </v:shape>
            <v:shape id="_x0000_s1067" type="#_x0000_t32" style="position:absolute;left:9671;top:8414;width:17;height:218;flip:x y" o:connectortype="straight">
              <v:stroke endarrow="block"/>
            </v:shape>
            <v:shape id="_x0000_s1068" type="#_x0000_t202" style="position:absolute;left:4468;top:4926;width:2913;height:624">
              <v:textbox style="mso-next-textbox:#_x0000_s1068">
                <w:txbxContent>
                  <w:p w:rsidR="00D400B1" w:rsidRPr="004F6473" w:rsidRDefault="00D400B1" w:rsidP="00D400B1">
                    <w:pPr>
                      <w:spacing w:line="240" w:lineRule="auto"/>
                      <w:jc w:val="center"/>
                      <w:rPr>
                        <w:rFonts w:ascii="Times New Roman" w:hAnsi="Times New Roman"/>
                        <w:sz w:val="24"/>
                        <w:szCs w:val="24"/>
                      </w:rPr>
                    </w:pPr>
                    <w:r w:rsidRPr="004F6473">
                      <w:rPr>
                        <w:rFonts w:ascii="Times New Roman" w:hAnsi="Times New Roman"/>
                        <w:sz w:val="24"/>
                        <w:szCs w:val="24"/>
                      </w:rPr>
                      <w:t>Специфічні</w:t>
                    </w:r>
                  </w:p>
                </w:txbxContent>
              </v:textbox>
            </v:shape>
            <v:shape id="_x0000_s1069" type="#_x0000_t32" style="position:absolute;left:5908;top:4385;width:0;height:567" o:connectortype="straight">
              <v:stroke endarrow="block"/>
            </v:shape>
          </v:group>
        </w:pict>
      </w: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rPr>
        <w:t xml:space="preserve">  </w:t>
      </w: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rPr>
        <w:t xml:space="preserve">Рис. 1. Структура професійних компетенцій перекладача [4]. </w:t>
      </w: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Узагальнюючи наведені </w:t>
      </w:r>
      <w:proofErr w:type="gramStart"/>
      <w:r w:rsidRPr="00D400B1">
        <w:rPr>
          <w:rFonts w:ascii="Times New Roman" w:hAnsi="Times New Roman"/>
          <w:spacing w:val="-4"/>
        </w:rPr>
        <w:t>п</w:t>
      </w:r>
      <w:proofErr w:type="gramEnd"/>
      <w:r w:rsidRPr="00D400B1">
        <w:rPr>
          <w:rFonts w:ascii="Times New Roman" w:hAnsi="Times New Roman"/>
          <w:spacing w:val="-4"/>
        </w:rPr>
        <w:t>ідходи під професійною компетентністю перекладача технічної літератури будемо розуміти соціально зумовлені вимоги до готовності фахівця до ефективного обміну технічною інформацією на основі сукупності лінгвістичних і фонових знань, способів перекладацької діяльності, певного досвіду  іншомовного спілкування у технічній галузі, професійно важливих якостей комунікатора [5; 6].</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Зрозуміло, що особливості майбутньої професійної діяльності, що </w:t>
      </w:r>
      <w:proofErr w:type="gramStart"/>
      <w:r w:rsidRPr="00D400B1">
        <w:rPr>
          <w:rFonts w:ascii="Times New Roman" w:hAnsi="Times New Roman"/>
          <w:spacing w:val="-4"/>
        </w:rPr>
        <w:t>пов’язана</w:t>
      </w:r>
      <w:proofErr w:type="gramEnd"/>
      <w:r w:rsidRPr="00D400B1">
        <w:rPr>
          <w:rFonts w:ascii="Times New Roman" w:hAnsi="Times New Roman"/>
          <w:spacing w:val="-4"/>
        </w:rPr>
        <w:t xml:space="preserve"> з роботою над текстами технічної спрямованості, потребують технічної обізнаності, знання предмету перекладу (фонові знання), розуміння суті документа, знання та врахування норм щодо оформлення технічної літератури, володіння науковим стилем викладу, комп’ютерними, мультимедійними та іншими інформаційно-комунікаційними технологіями [</w:t>
      </w:r>
      <w:proofErr w:type="gramStart"/>
      <w:r w:rsidRPr="00D400B1">
        <w:rPr>
          <w:rFonts w:ascii="Times New Roman" w:hAnsi="Times New Roman"/>
          <w:spacing w:val="-4"/>
        </w:rPr>
        <w:t xml:space="preserve">7]. </w:t>
      </w:r>
      <w:proofErr w:type="gramEnd"/>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Науковці виділяють низку можливостей використання сучасних педагогічних технологій у процесі професійної </w:t>
      </w:r>
      <w:proofErr w:type="gramStart"/>
      <w:r w:rsidRPr="00D400B1">
        <w:rPr>
          <w:rFonts w:ascii="Times New Roman" w:hAnsi="Times New Roman"/>
          <w:spacing w:val="-4"/>
        </w:rPr>
        <w:t>п</w:t>
      </w:r>
      <w:proofErr w:type="gramEnd"/>
      <w:r w:rsidRPr="00D400B1">
        <w:rPr>
          <w:rFonts w:ascii="Times New Roman" w:hAnsi="Times New Roman"/>
          <w:spacing w:val="-4"/>
        </w:rPr>
        <w:t>ідготовки майбутніх перекладачів технічної літератури, а саме:</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 оперативний зворотний зв'язок </w:t>
      </w:r>
      <w:proofErr w:type="gramStart"/>
      <w:r w:rsidRPr="00D400B1">
        <w:rPr>
          <w:rFonts w:ascii="Times New Roman" w:hAnsi="Times New Roman"/>
          <w:spacing w:val="-4"/>
        </w:rPr>
        <w:t>між</w:t>
      </w:r>
      <w:proofErr w:type="gramEnd"/>
      <w:r w:rsidRPr="00D400B1">
        <w:rPr>
          <w:rFonts w:ascii="Times New Roman" w:hAnsi="Times New Roman"/>
          <w:spacing w:val="-4"/>
        </w:rPr>
        <w:t xml:space="preserve"> викладачем і студентами;</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 </w:t>
      </w:r>
      <w:proofErr w:type="gramStart"/>
      <w:r w:rsidRPr="00D400B1">
        <w:rPr>
          <w:rFonts w:ascii="Times New Roman" w:hAnsi="Times New Roman"/>
          <w:spacing w:val="-4"/>
        </w:rPr>
        <w:t>арх</w:t>
      </w:r>
      <w:proofErr w:type="gramEnd"/>
      <w:r w:rsidRPr="00D400B1">
        <w:rPr>
          <w:rFonts w:ascii="Times New Roman" w:hAnsi="Times New Roman"/>
          <w:spacing w:val="-4"/>
        </w:rPr>
        <w:t>івне зберігання досить великих обсягів інформації з можливістю їх передачі;</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автоматичний переклад за допомогою комп’ютерних словників і перекладачі</w:t>
      </w:r>
      <w:proofErr w:type="gramStart"/>
      <w:r w:rsidRPr="00D400B1">
        <w:rPr>
          <w:rFonts w:ascii="Times New Roman" w:hAnsi="Times New Roman"/>
          <w:spacing w:val="-4"/>
        </w:rPr>
        <w:t>в</w:t>
      </w:r>
      <w:proofErr w:type="gramEnd"/>
      <w:r w:rsidRPr="00D400B1">
        <w:rPr>
          <w:rFonts w:ascii="Times New Roman" w:hAnsi="Times New Roman"/>
          <w:spacing w:val="-4"/>
        </w:rPr>
        <w:t>;</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 автоматичне реферування та анотування </w:t>
      </w:r>
      <w:proofErr w:type="gramStart"/>
      <w:r w:rsidRPr="00D400B1">
        <w:rPr>
          <w:rFonts w:ascii="Times New Roman" w:hAnsi="Times New Roman"/>
          <w:spacing w:val="-4"/>
        </w:rPr>
        <w:t>матер</w:t>
      </w:r>
      <w:proofErr w:type="gramEnd"/>
      <w:r w:rsidRPr="00D400B1">
        <w:rPr>
          <w:rFonts w:ascii="Times New Roman" w:hAnsi="Times New Roman"/>
          <w:spacing w:val="-4"/>
        </w:rPr>
        <w:t>іалів;</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автоматизовані системи перекладу;</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 поповнення </w:t>
      </w:r>
      <w:proofErr w:type="gramStart"/>
      <w:r w:rsidRPr="00D400B1">
        <w:rPr>
          <w:rFonts w:ascii="Times New Roman" w:hAnsi="Times New Roman"/>
          <w:spacing w:val="-4"/>
        </w:rPr>
        <w:t>активного</w:t>
      </w:r>
      <w:proofErr w:type="gramEnd"/>
      <w:r w:rsidRPr="00D400B1">
        <w:rPr>
          <w:rFonts w:ascii="Times New Roman" w:hAnsi="Times New Roman"/>
          <w:spacing w:val="-4"/>
        </w:rPr>
        <w:t xml:space="preserve"> словникового запасу, оволодіння галузевою термінологією;</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формування та вдосконалення навичок двостороннього перекладу;</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 </w:t>
      </w:r>
      <w:proofErr w:type="gramStart"/>
      <w:r w:rsidRPr="00D400B1">
        <w:rPr>
          <w:rFonts w:ascii="Times New Roman" w:hAnsi="Times New Roman"/>
          <w:spacing w:val="-4"/>
        </w:rPr>
        <w:t>перев</w:t>
      </w:r>
      <w:proofErr w:type="gramEnd"/>
      <w:r w:rsidRPr="00D400B1">
        <w:rPr>
          <w:rFonts w:ascii="Times New Roman" w:hAnsi="Times New Roman"/>
          <w:spacing w:val="-4"/>
        </w:rPr>
        <w:t xml:space="preserve">ірка орфографії.  </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lastRenderedPageBreak/>
        <w:t xml:space="preserve">По-перше, інтерактивний характер інформаційно-комунікаційних технологій значною мірою впливає на </w:t>
      </w:r>
      <w:r w:rsidRPr="00D400B1">
        <w:rPr>
          <w:rFonts w:ascii="Times New Roman" w:hAnsi="Times New Roman"/>
          <w:i/>
          <w:spacing w:val="-4"/>
        </w:rPr>
        <w:t>мотиваційну</w:t>
      </w:r>
      <w:r w:rsidRPr="00D400B1">
        <w:rPr>
          <w:rFonts w:ascii="Times New Roman" w:hAnsi="Times New Roman"/>
          <w:spacing w:val="-4"/>
        </w:rPr>
        <w:t xml:space="preserve"> сферу майбутніх перекладачів технічних текстів, побуджає до самонавчання. Формуванню </w:t>
      </w:r>
      <w:r w:rsidRPr="00D400B1">
        <w:rPr>
          <w:rFonts w:ascii="Times New Roman" w:hAnsi="Times New Roman"/>
          <w:i/>
          <w:spacing w:val="-4"/>
        </w:rPr>
        <w:t>когнітивної</w:t>
      </w:r>
      <w:r w:rsidRPr="00D400B1">
        <w:rPr>
          <w:rFonts w:ascii="Times New Roman" w:hAnsi="Times New Roman"/>
          <w:spacing w:val="-4"/>
        </w:rPr>
        <w:t xml:space="preserve"> (знаннєвої) складової професійних компетенцій майбутнього викладача в роботі з комп’ютером сприяє збі</w:t>
      </w:r>
      <w:proofErr w:type="gramStart"/>
      <w:r w:rsidRPr="00D400B1">
        <w:rPr>
          <w:rFonts w:ascii="Times New Roman" w:hAnsi="Times New Roman"/>
          <w:spacing w:val="-4"/>
        </w:rPr>
        <w:t>р</w:t>
      </w:r>
      <w:proofErr w:type="gramEnd"/>
      <w:r w:rsidRPr="00D400B1">
        <w:rPr>
          <w:rFonts w:ascii="Times New Roman" w:hAnsi="Times New Roman"/>
          <w:spacing w:val="-4"/>
        </w:rPr>
        <w:t>, зберігання, обробка інформації про досліджувані об’єкти, передача інформації, подання її в різних формах; вільне існування користувача у програмному середовищі.</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Електронна форма навчального матеріалу дозволяє зберігати його практично в необмеженому обсязі, що забезпечує </w:t>
      </w:r>
      <w:proofErr w:type="gramStart"/>
      <w:r w:rsidRPr="00D400B1">
        <w:rPr>
          <w:rFonts w:ascii="Times New Roman" w:hAnsi="Times New Roman"/>
          <w:spacing w:val="-4"/>
        </w:rPr>
        <w:t>р</w:t>
      </w:r>
      <w:proofErr w:type="gramEnd"/>
      <w:r w:rsidRPr="00D400B1">
        <w:rPr>
          <w:rFonts w:ascii="Times New Roman" w:hAnsi="Times New Roman"/>
          <w:spacing w:val="-4"/>
        </w:rPr>
        <w:t xml:space="preserve">ізноманітність тем для можливого педагогічного спілкування за схемами «викладач – студент», «студент – викладач», «студент – студент». </w:t>
      </w:r>
      <w:proofErr w:type="gramStart"/>
      <w:r w:rsidRPr="00D400B1">
        <w:rPr>
          <w:rFonts w:ascii="Times New Roman" w:hAnsi="Times New Roman"/>
          <w:spacing w:val="-4"/>
        </w:rPr>
        <w:t>Повноцінна усна та письмова ситуаційна комунікація, зокрема телекомунікаційні контакти з носіями цільової мови, її використання в реальних навчально-професійних контактах, сприяють оволодінню мовним матеріалом,  вербальними навичками, формують здатність правильно будувати та оформляти змістовний вислів, тобто основою таких важливих перекладацьких професійних компетенцій, як лінгвістична (лексична</w:t>
      </w:r>
      <w:proofErr w:type="gramEnd"/>
      <w:r w:rsidRPr="00D400B1">
        <w:rPr>
          <w:rFonts w:ascii="Times New Roman" w:hAnsi="Times New Roman"/>
          <w:spacing w:val="-4"/>
        </w:rPr>
        <w:t xml:space="preserve">, граматична, семантична) та </w:t>
      </w:r>
      <w:proofErr w:type="gramStart"/>
      <w:r w:rsidRPr="00D400B1">
        <w:rPr>
          <w:rFonts w:ascii="Times New Roman" w:hAnsi="Times New Roman"/>
          <w:spacing w:val="-4"/>
        </w:rPr>
        <w:t>стил</w:t>
      </w:r>
      <w:proofErr w:type="gramEnd"/>
      <w:r w:rsidRPr="00D400B1">
        <w:rPr>
          <w:rFonts w:ascii="Times New Roman" w:hAnsi="Times New Roman"/>
          <w:spacing w:val="-4"/>
        </w:rPr>
        <w:t>істична (володіння термінологією, системою мовленнєвих виражальних засобів, притаманних викладу текстів технічного жанру).</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Особлива роль у формуванні професійних компетенцій майбутніх перекладачів технічної літератури належить Інтернет-ресурсу, що надає значні можливості для пошуку автентичних текстів із технічних і наукових журналів, </w:t>
      </w:r>
      <w:proofErr w:type="gramStart"/>
      <w:r w:rsidRPr="00D400B1">
        <w:rPr>
          <w:rFonts w:ascii="Times New Roman" w:hAnsi="Times New Roman"/>
          <w:spacing w:val="-4"/>
        </w:rPr>
        <w:t>матер</w:t>
      </w:r>
      <w:proofErr w:type="gramEnd"/>
      <w:r w:rsidRPr="00D400B1">
        <w:rPr>
          <w:rFonts w:ascii="Times New Roman" w:hAnsi="Times New Roman"/>
          <w:spacing w:val="-4"/>
        </w:rPr>
        <w:t xml:space="preserve">іалів науково-технічних конференцій, фахових видань. </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Ефективне формування професійної компетентності майбутніх перекладачів </w:t>
      </w:r>
      <w:proofErr w:type="gramStart"/>
      <w:r w:rsidRPr="00D400B1">
        <w:rPr>
          <w:rFonts w:ascii="Times New Roman" w:hAnsi="Times New Roman"/>
          <w:spacing w:val="-4"/>
        </w:rPr>
        <w:t>в</w:t>
      </w:r>
      <w:proofErr w:type="gramEnd"/>
      <w:r w:rsidRPr="00D400B1">
        <w:rPr>
          <w:rFonts w:ascii="Times New Roman" w:hAnsi="Times New Roman"/>
          <w:spacing w:val="-4"/>
        </w:rPr>
        <w:t>ідбувається у процесі опрацювання та засвоєння навчального матеріалу за умови забезпечення вільного режиму роботи (вибір часу, місця, темпу роботи), можливості самоперевірки іншомовних мовленнєвих знань за допомогою вбудованого редактора, різноманітних комп’ютерних тестів, поповнення активного словарного фонду, запам’ятовування галузевих технічних термі</w:t>
      </w:r>
      <w:proofErr w:type="gramStart"/>
      <w:r w:rsidRPr="00D400B1">
        <w:rPr>
          <w:rFonts w:ascii="Times New Roman" w:hAnsi="Times New Roman"/>
          <w:spacing w:val="-4"/>
        </w:rPr>
        <w:t>н</w:t>
      </w:r>
      <w:proofErr w:type="gramEnd"/>
      <w:r w:rsidRPr="00D400B1">
        <w:rPr>
          <w:rFonts w:ascii="Times New Roman" w:hAnsi="Times New Roman"/>
          <w:spacing w:val="-4"/>
        </w:rPr>
        <w:t xml:space="preserve">ів, формування правильних граматичних конструкцій за допомогою навчальних </w:t>
      </w:r>
      <w:proofErr w:type="gramStart"/>
      <w:r w:rsidRPr="00D400B1">
        <w:rPr>
          <w:rFonts w:ascii="Times New Roman" w:hAnsi="Times New Roman"/>
          <w:spacing w:val="-4"/>
        </w:rPr>
        <w:t>систем</w:t>
      </w:r>
      <w:proofErr w:type="gramEnd"/>
      <w:r w:rsidRPr="00D400B1">
        <w:rPr>
          <w:rFonts w:ascii="Times New Roman" w:hAnsi="Times New Roman"/>
          <w:spacing w:val="-4"/>
        </w:rPr>
        <w:t>, баз даних, комп’ютерних словників, складанні на їх основі електронного термінологічного глосарія, що інтегрує найчастіше вживану термінологію.</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Значно поширює інформаційний ресурс розвитку професійних компетенцій перекладача використання мультимедійних технологій, що збагачують емоційну сферу особистості завдяки оригінальному художньому оформленню тексті</w:t>
      </w:r>
      <w:proofErr w:type="gramStart"/>
      <w:r w:rsidRPr="00D400B1">
        <w:rPr>
          <w:rFonts w:ascii="Times New Roman" w:hAnsi="Times New Roman"/>
          <w:spacing w:val="-4"/>
        </w:rPr>
        <w:t>в</w:t>
      </w:r>
      <w:proofErr w:type="gramEnd"/>
      <w:r w:rsidRPr="00D400B1">
        <w:rPr>
          <w:rFonts w:ascii="Times New Roman" w:hAnsi="Times New Roman"/>
          <w:spacing w:val="-4"/>
        </w:rPr>
        <w:t>.</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i/>
          <w:spacing w:val="-4"/>
        </w:rPr>
        <w:t>Діяльнісну</w:t>
      </w:r>
      <w:r w:rsidRPr="00D400B1">
        <w:rPr>
          <w:rFonts w:ascii="Times New Roman" w:hAnsi="Times New Roman"/>
          <w:spacing w:val="-4"/>
        </w:rPr>
        <w:t xml:space="preserve"> основу професійної компетентності майбутніх перекладачів технічної літератури складають перекладацькі навички, вміння іншомовного письмового викладу думок, творчого опрацювання тексту вихідною та його грамотного переказу цільовою мовою. Зазначена діяльність складає </w:t>
      </w:r>
      <w:r w:rsidRPr="00D400B1">
        <w:rPr>
          <w:rFonts w:ascii="Times New Roman" w:hAnsi="Times New Roman"/>
          <w:i/>
          <w:spacing w:val="-4"/>
        </w:rPr>
        <w:t>референційну</w:t>
      </w:r>
      <w:r w:rsidRPr="00D400B1">
        <w:rPr>
          <w:rFonts w:ascii="Times New Roman" w:hAnsi="Times New Roman"/>
          <w:spacing w:val="-4"/>
        </w:rPr>
        <w:t xml:space="preserve"> </w:t>
      </w:r>
      <w:r w:rsidRPr="00D400B1">
        <w:rPr>
          <w:rFonts w:ascii="Times New Roman" w:hAnsi="Times New Roman"/>
          <w:i/>
          <w:spacing w:val="-4"/>
        </w:rPr>
        <w:t>компетенцію</w:t>
      </w:r>
      <w:r w:rsidRPr="00D400B1">
        <w:rPr>
          <w:rFonts w:ascii="Times New Roman" w:hAnsi="Times New Roman"/>
          <w:spacing w:val="-4"/>
        </w:rPr>
        <w:t xml:space="preserve"> перекладача. </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Науковці відзначають, що професійна компетентність перекладача технічної літератури передбачає не тільки якісний письмовий переклад за допомогою словників, </w:t>
      </w:r>
      <w:proofErr w:type="gramStart"/>
      <w:r w:rsidRPr="00D400B1">
        <w:rPr>
          <w:rFonts w:ascii="Times New Roman" w:hAnsi="Times New Roman"/>
          <w:spacing w:val="-4"/>
        </w:rPr>
        <w:t>але й</w:t>
      </w:r>
      <w:proofErr w:type="gramEnd"/>
      <w:r w:rsidRPr="00D400B1">
        <w:rPr>
          <w:rFonts w:ascii="Times New Roman" w:hAnsi="Times New Roman"/>
          <w:spacing w:val="-4"/>
        </w:rPr>
        <w:t xml:space="preserve"> аналіз вхідного тексту на етапі, що передує безпосередньому перекладу, а також редагування тексту цільовою мовою. На нашу думку, для перекладача технічної літератури предметна компетенція передбачає не тільки міцні двомовні термінологічні одиниці, але й </w:t>
      </w:r>
      <w:proofErr w:type="gramStart"/>
      <w:r w:rsidRPr="00D400B1">
        <w:rPr>
          <w:rFonts w:ascii="Times New Roman" w:hAnsi="Times New Roman"/>
          <w:spacing w:val="-4"/>
        </w:rPr>
        <w:t>в</w:t>
      </w:r>
      <w:proofErr w:type="gramEnd"/>
      <w:r w:rsidRPr="00D400B1">
        <w:rPr>
          <w:rFonts w:ascii="Times New Roman" w:hAnsi="Times New Roman"/>
          <w:spacing w:val="-4"/>
        </w:rPr>
        <w:t>ільне орієнтування у предметній галузі знань, осягання смислу тексту певної фахової спрямованості.</w:t>
      </w:r>
    </w:p>
    <w:p w:rsidR="00D400B1" w:rsidRPr="00D400B1" w:rsidRDefault="00D400B1" w:rsidP="00D400B1">
      <w:pPr>
        <w:spacing w:after="0" w:line="240" w:lineRule="auto"/>
        <w:ind w:firstLine="567"/>
        <w:jc w:val="both"/>
        <w:rPr>
          <w:rFonts w:ascii="Times New Roman" w:hAnsi="Times New Roman"/>
          <w:spacing w:val="-4"/>
        </w:rPr>
      </w:pPr>
      <w:proofErr w:type="gramStart"/>
      <w:r w:rsidRPr="00D400B1">
        <w:rPr>
          <w:rFonts w:ascii="Times New Roman" w:hAnsi="Times New Roman"/>
          <w:spacing w:val="-4"/>
        </w:rPr>
        <w:t xml:space="preserve">Слід відзначити, що формування професійної компетентності майбутніх перекладачів технічної літератури на базі інформаційно-комунікативних технологій передбачає набуття студентами основ комп’ютерної грамотності, навичок комп’ютерного набору, користування електронною поштою, створення </w:t>
      </w:r>
      <w:r w:rsidRPr="00D400B1">
        <w:rPr>
          <w:rFonts w:ascii="Times New Roman" w:hAnsi="Times New Roman"/>
          <w:spacing w:val="-4"/>
          <w:lang w:val="en-US"/>
        </w:rPr>
        <w:t>WEB</w:t>
      </w:r>
      <w:r w:rsidRPr="00D400B1">
        <w:rPr>
          <w:rFonts w:ascii="Times New Roman" w:hAnsi="Times New Roman"/>
          <w:spacing w:val="-4"/>
        </w:rPr>
        <w:t>-сторінок, пошуковими системами для збору та обробки інформації, застосування програмного забезпечення для перекладу (</w:t>
      </w:r>
      <w:r w:rsidRPr="00D400B1">
        <w:rPr>
          <w:rFonts w:ascii="Times New Roman" w:hAnsi="Times New Roman"/>
          <w:i/>
          <w:spacing w:val="-4"/>
        </w:rPr>
        <w:t>прагматична компетенція</w:t>
      </w:r>
      <w:r w:rsidRPr="00D400B1">
        <w:rPr>
          <w:rFonts w:ascii="Times New Roman" w:hAnsi="Times New Roman"/>
          <w:spacing w:val="-4"/>
        </w:rPr>
        <w:t xml:space="preserve">). </w:t>
      </w:r>
      <w:proofErr w:type="gramEnd"/>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У теорії та практиці технічного перекладу триває дискусія стосовно </w:t>
      </w:r>
      <w:proofErr w:type="gramStart"/>
      <w:r w:rsidRPr="00D400B1">
        <w:rPr>
          <w:rFonts w:ascii="Times New Roman" w:hAnsi="Times New Roman"/>
          <w:spacing w:val="-4"/>
        </w:rPr>
        <w:t>машинного</w:t>
      </w:r>
      <w:proofErr w:type="gramEnd"/>
      <w:r w:rsidRPr="00D400B1">
        <w:rPr>
          <w:rFonts w:ascii="Times New Roman" w:hAnsi="Times New Roman"/>
          <w:spacing w:val="-4"/>
        </w:rPr>
        <w:t xml:space="preserve"> перекладу. На наш погляд, роль машинного перекладу у професійній діяльності перекладу є допоміжним, проте актуальним способом роботи перекладачів вузькоспеціальній технічній галузі, оскільки машинний переклад при </w:t>
      </w:r>
      <w:proofErr w:type="gramStart"/>
      <w:r w:rsidRPr="00D400B1">
        <w:rPr>
          <w:rFonts w:ascii="Times New Roman" w:hAnsi="Times New Roman"/>
          <w:spacing w:val="-4"/>
        </w:rPr>
        <w:t>вс</w:t>
      </w:r>
      <w:proofErr w:type="gramEnd"/>
      <w:r w:rsidRPr="00D400B1">
        <w:rPr>
          <w:rFonts w:ascii="Times New Roman" w:hAnsi="Times New Roman"/>
          <w:spacing w:val="-4"/>
        </w:rPr>
        <w:t>іх своїх недоліках дозволяє зрозуміти суть документа [4].</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 xml:space="preserve">Важливу роль у формуванні професійної компетентності відіграє виховання особистісних якостей майбутніх перекладачів технічної літератури, що сприяють успішному виконанню їхніх </w:t>
      </w:r>
      <w:r w:rsidRPr="00D400B1">
        <w:rPr>
          <w:rFonts w:ascii="Times New Roman" w:hAnsi="Times New Roman"/>
          <w:spacing w:val="-4"/>
        </w:rPr>
        <w:lastRenderedPageBreak/>
        <w:t xml:space="preserve">професійних функцій, а саме: сили волі, наполегливості, посидючості, уважності, логічності, гнучкості, критичності мислення, широти </w:t>
      </w:r>
      <w:proofErr w:type="gramStart"/>
      <w:r w:rsidRPr="00D400B1">
        <w:rPr>
          <w:rFonts w:ascii="Times New Roman" w:hAnsi="Times New Roman"/>
          <w:spacing w:val="-4"/>
        </w:rPr>
        <w:t>св</w:t>
      </w:r>
      <w:proofErr w:type="gramEnd"/>
      <w:r w:rsidRPr="00D400B1">
        <w:rPr>
          <w:rFonts w:ascii="Times New Roman" w:hAnsi="Times New Roman"/>
          <w:spacing w:val="-4"/>
        </w:rPr>
        <w:t xml:space="preserve">ітогляду, розвитку письмового мовлення, розуміння інших людей, здатності прозоро та чітко донести до них свою думку, дисципліни та </w:t>
      </w:r>
      <w:proofErr w:type="gramStart"/>
      <w:r w:rsidRPr="00D400B1">
        <w:rPr>
          <w:rFonts w:ascii="Times New Roman" w:hAnsi="Times New Roman"/>
          <w:spacing w:val="-4"/>
        </w:rPr>
        <w:t>самодисципл</w:t>
      </w:r>
      <w:proofErr w:type="gramEnd"/>
      <w:r w:rsidRPr="00D400B1">
        <w:rPr>
          <w:rFonts w:ascii="Times New Roman" w:hAnsi="Times New Roman"/>
          <w:spacing w:val="-4"/>
        </w:rPr>
        <w:t>іни, що становлять основу комунікативної компетенції.</w:t>
      </w:r>
    </w:p>
    <w:p w:rsidR="00D400B1" w:rsidRPr="00D400B1" w:rsidRDefault="00D400B1" w:rsidP="00D400B1">
      <w:pPr>
        <w:spacing w:after="0" w:line="240" w:lineRule="auto"/>
        <w:ind w:firstLine="567"/>
        <w:jc w:val="both"/>
        <w:rPr>
          <w:rFonts w:ascii="Times New Roman" w:hAnsi="Times New Roman"/>
          <w:spacing w:val="-4"/>
        </w:rPr>
      </w:pPr>
      <w:r w:rsidRPr="00D400B1">
        <w:rPr>
          <w:rFonts w:ascii="Times New Roman" w:hAnsi="Times New Roman"/>
          <w:spacing w:val="-4"/>
        </w:rPr>
        <w:t>Модель використання сучасних педагогічних технологій у процесі формування професійної компетентності перекладача технічної літератури представлена на рис. 2.</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noProof/>
        </w:rPr>
        <w:pict>
          <v:group id="_x0000_s1070" style="position:absolute;left:0;text-align:left;margin-left:9pt;margin-top:9.95pt;width:423pt;height:558.15pt;z-index:251658240" coordorigin="1768,2799" coordsize="8460,11163">
            <v:shape id="_x0000_s1071" type="#_x0000_t202" style="position:absolute;left:4468;top:2799;width:3098;height:872">
              <v:textbox style="mso-next-textbox:#_x0000_s1071">
                <w:txbxContent>
                  <w:p w:rsidR="00D400B1" w:rsidRPr="008F1BFB" w:rsidRDefault="00D400B1" w:rsidP="00D400B1">
                    <w:pPr>
                      <w:spacing w:line="240" w:lineRule="auto"/>
                      <w:jc w:val="center"/>
                      <w:rPr>
                        <w:sz w:val="20"/>
                        <w:szCs w:val="20"/>
                      </w:rPr>
                    </w:pPr>
                    <w:r w:rsidRPr="008F1BFB">
                      <w:rPr>
                        <w:sz w:val="20"/>
                        <w:szCs w:val="20"/>
                      </w:rPr>
                      <w:t xml:space="preserve">Професійна </w:t>
                    </w:r>
                    <w:proofErr w:type="gramStart"/>
                    <w:r w:rsidRPr="008F1BFB">
                      <w:rPr>
                        <w:sz w:val="20"/>
                        <w:szCs w:val="20"/>
                      </w:rPr>
                      <w:t>п</w:t>
                    </w:r>
                    <w:proofErr w:type="gramEnd"/>
                    <w:r w:rsidRPr="008F1BFB">
                      <w:rPr>
                        <w:sz w:val="20"/>
                        <w:szCs w:val="20"/>
                      </w:rPr>
                      <w:t>ідготовка перекладачів технічної літератури</w:t>
                    </w:r>
                  </w:p>
                </w:txbxContent>
              </v:textbox>
            </v:shape>
            <v:shape id="_x0000_s1072" type="#_x0000_t202" style="position:absolute;left:1768;top:6165;width:1980;height:2370">
              <v:textbox style="mso-next-textbox:#_x0000_s1072">
                <w:txbxContent>
                  <w:p w:rsidR="00D400B1" w:rsidRPr="008F1BFB" w:rsidRDefault="00D400B1" w:rsidP="00D400B1">
                    <w:pPr>
                      <w:spacing w:line="240" w:lineRule="auto"/>
                      <w:jc w:val="center"/>
                      <w:rPr>
                        <w:sz w:val="20"/>
                        <w:szCs w:val="20"/>
                      </w:rPr>
                    </w:pPr>
                    <w:r w:rsidRPr="008F1BFB">
                      <w:rPr>
                        <w:sz w:val="20"/>
                        <w:szCs w:val="20"/>
                      </w:rPr>
                      <w:t>Мотиваційна складова (і</w:t>
                    </w:r>
                    <w:r>
                      <w:rPr>
                        <w:sz w:val="20"/>
                        <w:szCs w:val="20"/>
                      </w:rPr>
                      <w:t>нтерес до певної науково-технічної галузі, читан</w:t>
                    </w:r>
                    <w:r w:rsidRPr="008F1BFB">
                      <w:rPr>
                        <w:sz w:val="20"/>
                        <w:szCs w:val="20"/>
                      </w:rPr>
                      <w:t>ня та перекладу технічної літера-тури, зокрема  іноземною мовою)</w:t>
                    </w:r>
                  </w:p>
                </w:txbxContent>
              </v:textbox>
            </v:shape>
            <v:shape id="_x0000_s1073" type="#_x0000_t202" style="position:absolute;left:3928;top:6165;width:1980;height:2370">
              <v:textbox style="mso-next-textbox:#_x0000_s1073">
                <w:txbxContent>
                  <w:p w:rsidR="00D400B1" w:rsidRPr="008F1BFB" w:rsidRDefault="00D400B1" w:rsidP="00D400B1">
                    <w:pPr>
                      <w:spacing w:line="240" w:lineRule="auto"/>
                      <w:jc w:val="center"/>
                      <w:rPr>
                        <w:sz w:val="20"/>
                        <w:szCs w:val="20"/>
                      </w:rPr>
                    </w:pPr>
                    <w:r w:rsidRPr="008F1BFB">
                      <w:rPr>
                        <w:sz w:val="20"/>
                        <w:szCs w:val="20"/>
                      </w:rPr>
                      <w:t xml:space="preserve">Когнітивна складова (фонові знання, володіння галузевою термінологією, </w:t>
                    </w:r>
                    <w:r w:rsidRPr="008F1BFB">
                      <w:rPr>
                        <w:sz w:val="20"/>
                        <w:szCs w:val="20"/>
                        <w:lang w:val="en-US"/>
                      </w:rPr>
                      <w:t>subject matter, declarative, procedural knowledge</w:t>
                    </w:r>
                    <w:r w:rsidRPr="008F1BFB">
                      <w:rPr>
                        <w:sz w:val="20"/>
                        <w:szCs w:val="20"/>
                      </w:rPr>
                      <w:t>)</w:t>
                    </w:r>
                  </w:p>
                </w:txbxContent>
              </v:textbox>
            </v:shape>
            <v:shape id="_x0000_s1074" type="#_x0000_t202" style="position:absolute;left:6088;top:6165;width:1980;height:2370">
              <v:textbox style="mso-next-textbox:#_x0000_s1074">
                <w:txbxContent>
                  <w:p w:rsidR="00D400B1" w:rsidRPr="008F1BFB" w:rsidRDefault="00D400B1" w:rsidP="00D400B1">
                    <w:pPr>
                      <w:spacing w:line="240" w:lineRule="auto"/>
                      <w:jc w:val="center"/>
                      <w:rPr>
                        <w:sz w:val="20"/>
                        <w:szCs w:val="20"/>
                      </w:rPr>
                    </w:pPr>
                    <w:r w:rsidRPr="008F1BFB">
                      <w:rPr>
                        <w:sz w:val="20"/>
                        <w:szCs w:val="20"/>
                      </w:rPr>
                      <w:t xml:space="preserve">Діяльнісна складова (мовна, текстотвірна, </w:t>
                    </w:r>
                    <w:proofErr w:type="gramStart"/>
                    <w:r w:rsidRPr="008F1BFB">
                      <w:rPr>
                        <w:sz w:val="20"/>
                        <w:szCs w:val="20"/>
                      </w:rPr>
                      <w:t>стил</w:t>
                    </w:r>
                    <w:proofErr w:type="gramEnd"/>
                    <w:r w:rsidRPr="008F1BFB">
                      <w:rPr>
                        <w:sz w:val="20"/>
                        <w:szCs w:val="20"/>
                      </w:rPr>
                      <w:t>істична, референційна, прагматична, технічна компетенції)</w:t>
                    </w:r>
                  </w:p>
                </w:txbxContent>
              </v:textbox>
            </v:shape>
            <v:shape id="_x0000_s1075" type="#_x0000_t202" style="position:absolute;left:8168;top:6165;width:1980;height:2370">
              <v:textbox style="mso-next-textbox:#_x0000_s1075">
                <w:txbxContent>
                  <w:p w:rsidR="00D400B1" w:rsidRPr="00F62E10" w:rsidRDefault="00D400B1" w:rsidP="00D400B1">
                    <w:pPr>
                      <w:spacing w:line="240" w:lineRule="auto"/>
                      <w:jc w:val="center"/>
                      <w:rPr>
                        <w:sz w:val="24"/>
                        <w:szCs w:val="24"/>
                      </w:rPr>
                    </w:pPr>
                    <w:r w:rsidRPr="008F1BFB">
                      <w:rPr>
                        <w:sz w:val="20"/>
                        <w:szCs w:val="20"/>
                      </w:rPr>
                      <w:t>Особистісна складова (персональні якості, комунікативна компетенція</w:t>
                    </w:r>
                    <w:r>
                      <w:rPr>
                        <w:sz w:val="24"/>
                        <w:szCs w:val="24"/>
                      </w:rPr>
                      <w:t>)</w:t>
                    </w:r>
                  </w:p>
                </w:txbxContent>
              </v:textbox>
            </v:shape>
            <v:shape id="_x0000_s1076" type="#_x0000_t202" style="position:absolute;left:3298;top:4033;width:5709;height:720">
              <v:textbox style="mso-next-textbox:#_x0000_s1076">
                <w:txbxContent>
                  <w:p w:rsidR="00D400B1" w:rsidRPr="00D7120E" w:rsidRDefault="00D400B1" w:rsidP="00D400B1">
                    <w:pPr>
                      <w:spacing w:line="240" w:lineRule="auto"/>
                      <w:jc w:val="center"/>
                      <w:rPr>
                        <w:sz w:val="20"/>
                        <w:szCs w:val="20"/>
                      </w:rPr>
                    </w:pPr>
                    <w:r w:rsidRPr="00D7120E">
                      <w:rPr>
                        <w:sz w:val="20"/>
                        <w:szCs w:val="20"/>
                      </w:rPr>
                      <w:t xml:space="preserve">Компетентнісний </w:t>
                    </w:r>
                    <w:proofErr w:type="gramStart"/>
                    <w:r w:rsidRPr="00D7120E">
                      <w:rPr>
                        <w:sz w:val="20"/>
                        <w:szCs w:val="20"/>
                      </w:rPr>
                      <w:t>п</w:t>
                    </w:r>
                    <w:proofErr w:type="gramEnd"/>
                    <w:r w:rsidRPr="00D7120E">
                      <w:rPr>
                        <w:sz w:val="20"/>
                        <w:szCs w:val="20"/>
                      </w:rPr>
                      <w:t>ідхід: формування комп</w:t>
                    </w:r>
                    <w:r>
                      <w:rPr>
                        <w:sz w:val="20"/>
                        <w:szCs w:val="20"/>
                      </w:rPr>
                      <w:t>е</w:t>
                    </w:r>
                    <w:r w:rsidRPr="00D7120E">
                      <w:rPr>
                        <w:sz w:val="20"/>
                        <w:szCs w:val="20"/>
                      </w:rPr>
                      <w:t>тентності майбутніх перекладів як результат</w:t>
                    </w:r>
                    <w:r>
                      <w:rPr>
                        <w:sz w:val="20"/>
                        <w:szCs w:val="20"/>
                      </w:rPr>
                      <w:t xml:space="preserve"> фахової освіти</w:t>
                    </w:r>
                    <w:r w:rsidRPr="00D7120E">
                      <w:rPr>
                        <w:sz w:val="20"/>
                        <w:szCs w:val="20"/>
                      </w:rPr>
                      <w:t xml:space="preserve"> </w:t>
                    </w:r>
                  </w:p>
                </w:txbxContent>
              </v:textbox>
            </v:shape>
            <v:shape id="_x0000_s1077" type="#_x0000_t202" style="position:absolute;left:4575;top:5072;width:3098;height:720">
              <v:textbox style="mso-next-textbox:#_x0000_s1077">
                <w:txbxContent>
                  <w:p w:rsidR="00D400B1" w:rsidRPr="008F1BFB" w:rsidRDefault="00D400B1" w:rsidP="00D400B1">
                    <w:pPr>
                      <w:spacing w:line="240" w:lineRule="auto"/>
                      <w:jc w:val="center"/>
                      <w:rPr>
                        <w:sz w:val="20"/>
                        <w:szCs w:val="20"/>
                      </w:rPr>
                    </w:pPr>
                    <w:r w:rsidRPr="008F1BFB">
                      <w:rPr>
                        <w:sz w:val="20"/>
                        <w:szCs w:val="20"/>
                      </w:rPr>
                      <w:t>Професійна компетентність перекладача</w:t>
                    </w:r>
                  </w:p>
                </w:txbxContent>
              </v:textbox>
            </v:shape>
            <v:shape id="_x0000_s1078" type="#_x0000_t202" style="position:absolute;left:1768;top:9952;width:1980;height:1512">
              <v:textbox style="mso-next-textbox:#_x0000_s1078">
                <w:txbxContent>
                  <w:p w:rsidR="00D400B1" w:rsidRPr="008F1BFB" w:rsidRDefault="00D400B1" w:rsidP="00D400B1">
                    <w:pPr>
                      <w:spacing w:line="240" w:lineRule="auto"/>
                      <w:jc w:val="center"/>
                      <w:rPr>
                        <w:sz w:val="20"/>
                        <w:szCs w:val="20"/>
                      </w:rPr>
                    </w:pPr>
                    <w:r w:rsidRPr="008F1BFB">
                      <w:rPr>
                        <w:sz w:val="20"/>
                        <w:szCs w:val="20"/>
                      </w:rPr>
                      <w:t xml:space="preserve">Високий технічний </w:t>
                    </w:r>
                    <w:proofErr w:type="gramStart"/>
                    <w:r w:rsidRPr="008F1BFB">
                      <w:rPr>
                        <w:sz w:val="20"/>
                        <w:szCs w:val="20"/>
                      </w:rPr>
                      <w:t>р</w:t>
                    </w:r>
                    <w:proofErr w:type="gramEnd"/>
                    <w:r w:rsidRPr="008F1BFB">
                      <w:rPr>
                        <w:sz w:val="20"/>
                        <w:szCs w:val="20"/>
                      </w:rPr>
                      <w:t>івень ІКТ, досконалість матеріально-технічної бази</w:t>
                    </w:r>
                  </w:p>
                </w:txbxContent>
              </v:textbox>
            </v:shape>
            <v:shape id="_x0000_s1079" type="#_x0000_t202" style="position:absolute;left:4238;top:11997;width:3098;height:955">
              <v:textbox style="mso-next-textbox:#_x0000_s1079">
                <w:txbxContent>
                  <w:p w:rsidR="00D400B1" w:rsidRPr="008F1BFB" w:rsidRDefault="00D400B1" w:rsidP="00D400B1">
                    <w:pPr>
                      <w:spacing w:line="240" w:lineRule="auto"/>
                      <w:jc w:val="center"/>
                      <w:rPr>
                        <w:sz w:val="20"/>
                        <w:szCs w:val="20"/>
                      </w:rPr>
                    </w:pPr>
                    <w:r w:rsidRPr="008F1BFB">
                      <w:rPr>
                        <w:sz w:val="20"/>
                        <w:szCs w:val="20"/>
                      </w:rPr>
                      <w:t>Принципи: науковості, єдності навчання та практики, активності</w:t>
                    </w:r>
                  </w:p>
                </w:txbxContent>
              </v:textbox>
            </v:shape>
            <v:shape id="_x0000_s1080" type="#_x0000_t202" style="position:absolute;left:3920;top:9952;width:2072;height:1512">
              <v:textbox style="mso-next-textbox:#_x0000_s1080">
                <w:txbxContent>
                  <w:p w:rsidR="00D400B1" w:rsidRPr="008F1BFB" w:rsidRDefault="00D400B1" w:rsidP="00D400B1">
                    <w:pPr>
                      <w:spacing w:line="240" w:lineRule="auto"/>
                      <w:jc w:val="center"/>
                      <w:rPr>
                        <w:sz w:val="20"/>
                        <w:szCs w:val="20"/>
                      </w:rPr>
                    </w:pPr>
                    <w:r w:rsidRPr="008F1BFB">
                      <w:rPr>
                        <w:sz w:val="20"/>
                        <w:szCs w:val="20"/>
                      </w:rPr>
                      <w:t xml:space="preserve">Навчальні системи, бази даних, комп’ютерні словники, електронний глосарій </w:t>
                    </w:r>
                  </w:p>
                </w:txbxContent>
              </v:textbox>
            </v:shape>
            <v:shape id="_x0000_s1081" type="#_x0000_t202" style="position:absolute;left:6178;top:9952;width:1980;height:1512">
              <v:textbox style="mso-next-textbox:#_x0000_s1081">
                <w:txbxContent>
                  <w:p w:rsidR="00D400B1" w:rsidRPr="008F1BFB" w:rsidRDefault="00D400B1" w:rsidP="00D400B1">
                    <w:pPr>
                      <w:spacing w:line="240" w:lineRule="auto"/>
                      <w:jc w:val="center"/>
                      <w:rPr>
                        <w:sz w:val="20"/>
                        <w:szCs w:val="20"/>
                      </w:rPr>
                    </w:pPr>
                    <w:r w:rsidRPr="008F1BFB">
                      <w:rPr>
                        <w:sz w:val="20"/>
                        <w:szCs w:val="20"/>
                      </w:rPr>
                      <w:t>Електронна пошта, пошукові системи, машинний переклад</w:t>
                    </w:r>
                  </w:p>
                </w:txbxContent>
              </v:textbox>
            </v:shape>
            <v:shape id="_x0000_s1082" type="#_x0000_t202" style="position:absolute;left:8248;top:9952;width:1980;height:1512">
              <v:textbox style="mso-next-textbox:#_x0000_s1082">
                <w:txbxContent>
                  <w:p w:rsidR="00D400B1" w:rsidRPr="008F1BFB" w:rsidRDefault="00D400B1" w:rsidP="00D400B1">
                    <w:pPr>
                      <w:spacing w:line="240" w:lineRule="auto"/>
                      <w:jc w:val="center"/>
                      <w:rPr>
                        <w:sz w:val="20"/>
                        <w:szCs w:val="20"/>
                      </w:rPr>
                    </w:pPr>
                    <w:r w:rsidRPr="008F1BFB">
                      <w:rPr>
                        <w:sz w:val="20"/>
                        <w:szCs w:val="20"/>
                      </w:rPr>
                      <w:t xml:space="preserve">Організація </w:t>
                    </w:r>
                    <w:proofErr w:type="gramStart"/>
                    <w:r w:rsidRPr="008F1BFB">
                      <w:rPr>
                        <w:sz w:val="20"/>
                        <w:szCs w:val="20"/>
                      </w:rPr>
                      <w:t>р</w:t>
                    </w:r>
                    <w:proofErr w:type="gramEnd"/>
                    <w:r w:rsidRPr="008F1BFB">
                      <w:rPr>
                        <w:sz w:val="20"/>
                        <w:szCs w:val="20"/>
                      </w:rPr>
                      <w:t>ізноманітних ситуацій педагогічної взаємодії</w:t>
                    </w:r>
                  </w:p>
                </w:txbxContent>
              </v:textbox>
            </v:shape>
            <v:shape id="_x0000_s1083" type="#_x0000_t32" style="position:absolute;left:6088;top:3714;width:0;height:319" o:connectortype="straight">
              <v:stroke endarrow="block"/>
            </v:shape>
            <v:shape id="_x0000_s1084" type="#_x0000_t202" style="position:absolute;left:4238;top:13227;width:3098;height:735">
              <v:textbox style="mso-next-textbox:#_x0000_s1084">
                <w:txbxContent>
                  <w:p w:rsidR="00D400B1" w:rsidRPr="008F1BFB" w:rsidRDefault="00D400B1" w:rsidP="00D400B1">
                    <w:pPr>
                      <w:spacing w:line="240" w:lineRule="auto"/>
                      <w:jc w:val="center"/>
                      <w:rPr>
                        <w:sz w:val="20"/>
                        <w:szCs w:val="20"/>
                      </w:rPr>
                    </w:pPr>
                    <w:r w:rsidRPr="008F1BFB">
                      <w:rPr>
                        <w:sz w:val="20"/>
                        <w:szCs w:val="20"/>
                      </w:rPr>
                      <w:t>Банк сучасних педагогічних технологій</w:t>
                    </w:r>
                  </w:p>
                </w:txbxContent>
              </v:textbox>
            </v:shape>
            <v:shape id="_x0000_s1085" type="#_x0000_t32" style="position:absolute;left:6088;top:4753;width:0;height:319" o:connectortype="straight">
              <v:stroke endarrow="block"/>
            </v:shape>
            <v:shape id="_x0000_s1086" type="#_x0000_t202" style="position:absolute;left:1768;top:8882;width:8460;height:720">
              <v:textbox style="mso-next-textbox:#_x0000_s1086">
                <w:txbxContent>
                  <w:p w:rsidR="00D400B1" w:rsidRPr="008F1BFB" w:rsidRDefault="00D400B1" w:rsidP="00D400B1">
                    <w:pPr>
                      <w:spacing w:line="240" w:lineRule="auto"/>
                      <w:jc w:val="center"/>
                      <w:rPr>
                        <w:sz w:val="20"/>
                        <w:szCs w:val="20"/>
                      </w:rPr>
                    </w:pPr>
                    <w:r>
                      <w:rPr>
                        <w:sz w:val="20"/>
                        <w:szCs w:val="20"/>
                      </w:rPr>
                      <w:t>Навчально-методичне забезпечення технології формування професійної компетентності майбутніх перекладачі</w:t>
                    </w:r>
                    <w:proofErr w:type="gramStart"/>
                    <w:r>
                      <w:rPr>
                        <w:sz w:val="20"/>
                        <w:szCs w:val="20"/>
                      </w:rPr>
                      <w:t>в</w:t>
                    </w:r>
                    <w:proofErr w:type="gramEnd"/>
                  </w:p>
                </w:txbxContent>
              </v:textbox>
            </v:shape>
            <v:shape id="_x0000_s1087" type="#_x0000_t32" style="position:absolute;left:3450;top:5792;width:1440;height:297;flip:x" o:connectortype="straight">
              <v:stroke endarrow="block"/>
            </v:shape>
            <v:shape id="_x0000_s1088" type="#_x0000_t32" style="position:absolute;left:5430;top:5792;width:345;height:372;flip:x" o:connectortype="straight">
              <v:stroke endarrow="block"/>
            </v:shape>
            <v:shape id="_x0000_s1089" type="#_x0000_t32" style="position:absolute;left:6178;top:5792;width:489;height:372" o:connectortype="straight">
              <v:stroke endarrow="block"/>
            </v:shape>
            <v:shape id="_x0000_s1090" type="#_x0000_t32" style="position:absolute;left:7336;top:5792;width:1244;height:297" o:connectortype="straight">
              <v:stroke endarrow="block"/>
            </v:shape>
            <v:shape id="_x0000_s1091" type="#_x0000_t32" style="position:absolute;left:2701;top:8534;width:15;height:348;flip:y" o:connectortype="straight">
              <v:stroke endarrow="block"/>
            </v:shape>
            <v:shape id="_x0000_s1092" type="#_x0000_t32" style="position:absolute;left:4860;top:8534;width:15;height:348;flip:y" o:connectortype="straight">
              <v:stroke endarrow="block"/>
            </v:shape>
            <v:shape id="_x0000_s1093" type="#_x0000_t32" style="position:absolute;left:7095;top:8534;width:1;height:348;flip:y" o:connectortype="straight">
              <v:stroke endarrow="block"/>
            </v:shape>
            <v:shape id="_x0000_s1094" type="#_x0000_t32" style="position:absolute;left:9135;top:8534;width:1;height:348;flip:y" o:connectortype="straight">
              <v:stroke endarrow="block"/>
            </v:shape>
            <v:shape id="_x0000_s1095" type="#_x0000_t32" style="position:absolute;left:2716;top:9602;width:0;height:350" o:connectortype="straight">
              <v:stroke endarrow="block"/>
            </v:shape>
            <v:shape id="_x0000_s1096" type="#_x0000_t32" style="position:absolute;left:4905;top:9602;width:0;height:350" o:connectortype="straight">
              <v:stroke endarrow="block"/>
            </v:shape>
            <v:shape id="_x0000_s1097" type="#_x0000_t32" style="position:absolute;left:7096;top:9602;width:0;height:350" o:connectortype="straight">
              <v:stroke endarrow="block"/>
            </v:shape>
            <v:shape id="_x0000_s1098" type="#_x0000_t32" style="position:absolute;left:9180;top:9602;width:0;height:350" o:connectortype="straight">
              <v:stroke endarrow="block"/>
            </v:shape>
            <v:shape id="_x0000_s1099" type="#_x0000_t32" style="position:absolute;left:6788;top:11464;width:2219;height:533;flip:y" o:connectortype="straight">
              <v:stroke endarrow="block"/>
            </v:shape>
            <v:shape id="_x0000_s1100" type="#_x0000_t32" style="position:absolute;left:6383;top:11464;width:405;height:533;flip:y" o:connectortype="straight">
              <v:stroke endarrow="block"/>
            </v:shape>
            <v:shape id="_x0000_s1101" type="#_x0000_t32" style="position:absolute;left:5085;top:11464;width:185;height:533;flip:x y" o:connectortype="straight">
              <v:stroke endarrow="block"/>
            </v:shape>
            <v:shape id="_x0000_s1102" type="#_x0000_t32" style="position:absolute;left:2850;top:11464;width:1725;height:533;flip:x y" o:connectortype="straight">
              <v:stroke endarrow="block"/>
            </v:shape>
            <v:shape id="_x0000_s1103" type="#_x0000_t32" style="position:absolute;left:5775;top:12952;width:0;height:275;flip:y" o:connectortype="straight">
              <v:stroke endarrow="block"/>
            </v:shape>
          </v:group>
        </w:pict>
      </w: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noProof/>
        </w:rPr>
        <w:pict>
          <v:shape id="_x0000_s1047" type="#_x0000_t202" style="position:absolute;left:0;text-align:left;margin-left:187.85pt;margin-top:586.65pt;width:154.9pt;height:47.75pt;z-index:251658240">
            <v:textbox style="mso-next-textbox:#_x0000_s1047">
              <w:txbxContent>
                <w:p w:rsidR="00D400B1" w:rsidRPr="00967DC6" w:rsidRDefault="00D400B1" w:rsidP="00D400B1">
                  <w:pPr>
                    <w:jc w:val="center"/>
                    <w:rPr>
                      <w:sz w:val="24"/>
                      <w:szCs w:val="24"/>
                    </w:rPr>
                  </w:pPr>
                  <w:r>
                    <w:rPr>
                      <w:sz w:val="24"/>
                      <w:szCs w:val="24"/>
                    </w:rPr>
                    <w:t>Сучасні педагогічні технології</w:t>
                  </w:r>
                </w:p>
              </w:txbxContent>
            </v:textbox>
          </v:shape>
        </w:pict>
      </w: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jc w:val="both"/>
        <w:rPr>
          <w:rFonts w:ascii="Times New Roman" w:hAnsi="Times New Roman"/>
        </w:rPr>
      </w:pPr>
    </w:p>
    <w:p w:rsidR="00D400B1" w:rsidRPr="00D400B1" w:rsidRDefault="00D400B1" w:rsidP="00D400B1">
      <w:pPr>
        <w:tabs>
          <w:tab w:val="left" w:pos="5341"/>
        </w:tabs>
        <w:spacing w:after="0" w:line="240" w:lineRule="auto"/>
        <w:ind w:firstLine="567"/>
        <w:jc w:val="both"/>
        <w:rPr>
          <w:rFonts w:ascii="Times New Roman" w:hAnsi="Times New Roman"/>
        </w:rPr>
      </w:pPr>
      <w:r w:rsidRPr="00D400B1">
        <w:rPr>
          <w:rFonts w:ascii="Times New Roman" w:hAnsi="Times New Roman"/>
        </w:rPr>
        <w:t>Рис. 2. Модель формування професійної компетентності майбутніх перекладачів технічної літератури</w:t>
      </w:r>
    </w:p>
    <w:p w:rsidR="00D400B1" w:rsidRPr="00D400B1" w:rsidRDefault="00D400B1" w:rsidP="00D400B1">
      <w:pPr>
        <w:spacing w:after="0" w:line="240" w:lineRule="auto"/>
        <w:ind w:firstLine="567"/>
        <w:jc w:val="both"/>
        <w:rPr>
          <w:rFonts w:ascii="Times New Roman" w:hAnsi="Times New Roman"/>
        </w:rPr>
      </w:pPr>
      <w:r w:rsidRPr="00D400B1">
        <w:rPr>
          <w:rFonts w:ascii="Times New Roman" w:hAnsi="Times New Roman"/>
          <w:b/>
        </w:rPr>
        <w:lastRenderedPageBreak/>
        <w:t>Висновки</w:t>
      </w:r>
      <w:r w:rsidRPr="00D400B1">
        <w:rPr>
          <w:rFonts w:ascii="Times New Roman" w:hAnsi="Times New Roman"/>
        </w:rPr>
        <w:t xml:space="preserve">. Тож розвиток міжкультурних контактів у галузі науково-технічного знання потребує вдосконалення професійної </w:t>
      </w:r>
      <w:proofErr w:type="gramStart"/>
      <w:r w:rsidRPr="00D400B1">
        <w:rPr>
          <w:rFonts w:ascii="Times New Roman" w:hAnsi="Times New Roman"/>
        </w:rPr>
        <w:t>п</w:t>
      </w:r>
      <w:proofErr w:type="gramEnd"/>
      <w:r w:rsidRPr="00D400B1">
        <w:rPr>
          <w:rFonts w:ascii="Times New Roman" w:hAnsi="Times New Roman"/>
        </w:rPr>
        <w:t xml:space="preserve">ідготовки перекладачів, готових працювати у віртуальному інформаційному просторі. Професійні компетенції перекладача технічної літератури інтегрують міцні лінгвістичні знання, технічну обізнаність, кваліфіковані вміння та досвід перекладацької діяльності, гуманістичні цінності та позитивні </w:t>
      </w:r>
      <w:proofErr w:type="gramStart"/>
      <w:r w:rsidRPr="00D400B1">
        <w:rPr>
          <w:rFonts w:ascii="Times New Roman" w:hAnsi="Times New Roman"/>
        </w:rPr>
        <w:t>св</w:t>
      </w:r>
      <w:proofErr w:type="gramEnd"/>
      <w:r w:rsidRPr="00D400B1">
        <w:rPr>
          <w:rFonts w:ascii="Times New Roman" w:hAnsi="Times New Roman"/>
        </w:rPr>
        <w:t>ітоглядні установки.</w:t>
      </w:r>
    </w:p>
    <w:p w:rsidR="00D400B1" w:rsidRPr="00D400B1" w:rsidRDefault="00D400B1" w:rsidP="00D400B1">
      <w:pPr>
        <w:spacing w:after="0" w:line="240" w:lineRule="auto"/>
        <w:ind w:firstLine="567"/>
        <w:jc w:val="both"/>
        <w:rPr>
          <w:rFonts w:ascii="Times New Roman" w:hAnsi="Times New Roman"/>
        </w:rPr>
      </w:pPr>
    </w:p>
    <w:p w:rsidR="00D400B1" w:rsidRPr="00D400B1" w:rsidRDefault="00D400B1" w:rsidP="00D400B1">
      <w:pPr>
        <w:spacing w:after="0" w:line="240" w:lineRule="auto"/>
        <w:ind w:firstLine="567"/>
        <w:jc w:val="both"/>
        <w:rPr>
          <w:rFonts w:ascii="Times New Roman" w:hAnsi="Times New Roman"/>
          <w:b/>
        </w:rPr>
      </w:pPr>
      <w:r w:rsidRPr="00D400B1">
        <w:rPr>
          <w:rFonts w:ascii="Times New Roman" w:hAnsi="Times New Roman"/>
          <w:b/>
        </w:rPr>
        <w:t>Список використаних джерел</w:t>
      </w:r>
    </w:p>
    <w:p w:rsidR="00D400B1" w:rsidRPr="00681F9B" w:rsidRDefault="00D400B1" w:rsidP="00D400B1">
      <w:pPr>
        <w:pStyle w:val="11"/>
        <w:tabs>
          <w:tab w:val="left" w:pos="0"/>
        </w:tabs>
        <w:spacing w:line="240" w:lineRule="auto"/>
        <w:ind w:left="0" w:firstLine="567"/>
        <w:rPr>
          <w:sz w:val="22"/>
          <w:szCs w:val="22"/>
        </w:rPr>
      </w:pPr>
      <w:r w:rsidRPr="00681F9B">
        <w:rPr>
          <w:sz w:val="22"/>
          <w:szCs w:val="22"/>
          <w:lang w:val="ru-RU"/>
        </w:rPr>
        <w:t xml:space="preserve">1. </w:t>
      </w:r>
      <w:r w:rsidRPr="00681F9B">
        <w:rPr>
          <w:sz w:val="22"/>
          <w:szCs w:val="22"/>
        </w:rPr>
        <w:t xml:space="preserve">Грязнухіна Т. О. Паралельні корпуси текстів і машинний переклад </w:t>
      </w:r>
      <w:r w:rsidRPr="00681F9B">
        <w:rPr>
          <w:sz w:val="22"/>
          <w:szCs w:val="22"/>
          <w:lang w:val="ru-RU"/>
        </w:rPr>
        <w:t xml:space="preserve">/ </w:t>
      </w:r>
      <w:r w:rsidRPr="00681F9B">
        <w:rPr>
          <w:sz w:val="22"/>
          <w:szCs w:val="22"/>
        </w:rPr>
        <w:t>Т.</w:t>
      </w:r>
      <w:r w:rsidRPr="00681F9B">
        <w:rPr>
          <w:sz w:val="22"/>
          <w:szCs w:val="22"/>
          <w:lang w:val="ru-RU"/>
        </w:rPr>
        <w:t> </w:t>
      </w:r>
      <w:r w:rsidRPr="00681F9B">
        <w:rPr>
          <w:sz w:val="22"/>
          <w:szCs w:val="22"/>
        </w:rPr>
        <w:t>О.</w:t>
      </w:r>
      <w:r w:rsidRPr="00681F9B">
        <w:rPr>
          <w:sz w:val="22"/>
          <w:szCs w:val="22"/>
          <w:lang w:val="ru-RU"/>
        </w:rPr>
        <w:t> </w:t>
      </w:r>
      <w:r w:rsidRPr="00681F9B">
        <w:rPr>
          <w:sz w:val="22"/>
          <w:szCs w:val="22"/>
        </w:rPr>
        <w:t xml:space="preserve">Грязнухіна </w:t>
      </w:r>
      <w:r w:rsidRPr="00681F9B">
        <w:rPr>
          <w:sz w:val="22"/>
          <w:szCs w:val="22"/>
          <w:lang w:val="ru-RU"/>
        </w:rPr>
        <w:t xml:space="preserve">// </w:t>
      </w:r>
      <w:r w:rsidRPr="00681F9B">
        <w:rPr>
          <w:sz w:val="22"/>
          <w:szCs w:val="22"/>
        </w:rPr>
        <w:t>Мовознавство. – 2006. –№</w:t>
      </w:r>
      <w:r w:rsidRPr="00681F9B">
        <w:rPr>
          <w:sz w:val="22"/>
          <w:szCs w:val="22"/>
          <w:lang w:val="ru-RU"/>
        </w:rPr>
        <w:t xml:space="preserve"> </w:t>
      </w:r>
      <w:r w:rsidRPr="00681F9B">
        <w:rPr>
          <w:sz w:val="22"/>
          <w:szCs w:val="22"/>
        </w:rPr>
        <w:t>1. – С. 71–82.</w:t>
      </w:r>
    </w:p>
    <w:p w:rsidR="00D400B1" w:rsidRPr="00681F9B" w:rsidRDefault="00D400B1" w:rsidP="00D400B1">
      <w:pPr>
        <w:pStyle w:val="11"/>
        <w:tabs>
          <w:tab w:val="left" w:pos="0"/>
        </w:tabs>
        <w:spacing w:line="240" w:lineRule="auto"/>
        <w:ind w:left="0" w:firstLine="567"/>
        <w:rPr>
          <w:sz w:val="22"/>
          <w:szCs w:val="22"/>
          <w:lang w:val="en-US"/>
        </w:rPr>
      </w:pPr>
      <w:r w:rsidRPr="00681F9B">
        <w:rPr>
          <w:sz w:val="22"/>
          <w:szCs w:val="22"/>
          <w:lang w:val="en-US"/>
        </w:rPr>
        <w:t>2. Gile D. Basic concepts and models for interpreter and translator training / D. Gile. – John Benjamin Publishing Company, 2009. – 283 p.</w:t>
      </w:r>
    </w:p>
    <w:p w:rsidR="00D400B1" w:rsidRPr="00681F9B" w:rsidRDefault="00D400B1" w:rsidP="00D400B1">
      <w:pPr>
        <w:pStyle w:val="11"/>
        <w:tabs>
          <w:tab w:val="left" w:pos="0"/>
        </w:tabs>
        <w:spacing w:line="240" w:lineRule="auto"/>
        <w:ind w:left="0" w:firstLine="567"/>
        <w:rPr>
          <w:sz w:val="22"/>
          <w:szCs w:val="22"/>
          <w:lang w:val="en-US"/>
        </w:rPr>
      </w:pPr>
      <w:r w:rsidRPr="00681F9B">
        <w:rPr>
          <w:sz w:val="22"/>
          <w:szCs w:val="22"/>
          <w:lang w:val="en-US"/>
        </w:rPr>
        <w:t>3. Competences for professional translators, experts in multilingual and multimedia communication [</w:t>
      </w:r>
      <w:r w:rsidRPr="00681F9B">
        <w:rPr>
          <w:sz w:val="22"/>
          <w:szCs w:val="22"/>
          <w:lang w:val="ru-RU"/>
        </w:rPr>
        <w:t>Ел</w:t>
      </w:r>
      <w:r w:rsidRPr="00681F9B">
        <w:rPr>
          <w:sz w:val="22"/>
          <w:szCs w:val="22"/>
        </w:rPr>
        <w:t>ектронний ресурс</w:t>
      </w:r>
      <w:r w:rsidRPr="00681F9B">
        <w:rPr>
          <w:sz w:val="22"/>
          <w:szCs w:val="22"/>
          <w:lang w:val="en-US"/>
        </w:rPr>
        <w:t xml:space="preserve">]. – </w:t>
      </w:r>
      <w:r w:rsidRPr="00681F9B">
        <w:rPr>
          <w:sz w:val="22"/>
          <w:szCs w:val="22"/>
        </w:rPr>
        <w:t xml:space="preserve">Режим </w:t>
      </w:r>
      <w:proofErr w:type="gramStart"/>
      <w:r w:rsidRPr="00681F9B">
        <w:rPr>
          <w:sz w:val="22"/>
          <w:szCs w:val="22"/>
        </w:rPr>
        <w:t>доступу :</w:t>
      </w:r>
      <w:proofErr w:type="gramEnd"/>
      <w:r w:rsidRPr="00681F9B">
        <w:rPr>
          <w:sz w:val="22"/>
          <w:szCs w:val="22"/>
        </w:rPr>
        <w:t xml:space="preserve"> </w:t>
      </w:r>
      <w:r w:rsidRPr="00681F9B">
        <w:rPr>
          <w:sz w:val="22"/>
          <w:szCs w:val="22"/>
          <w:lang w:val="en-US"/>
        </w:rPr>
        <w:t xml:space="preserve">http://ec.europa.eu/dgs/translation/programes/emt/key_documents/emt_competences_translators_en.pdf. </w:t>
      </w:r>
    </w:p>
    <w:p w:rsidR="00D400B1" w:rsidRPr="00681F9B" w:rsidRDefault="00D400B1" w:rsidP="00D400B1">
      <w:pPr>
        <w:pStyle w:val="11"/>
        <w:tabs>
          <w:tab w:val="left" w:pos="0"/>
        </w:tabs>
        <w:spacing w:line="240" w:lineRule="auto"/>
        <w:ind w:left="0" w:firstLine="567"/>
        <w:rPr>
          <w:sz w:val="22"/>
          <w:szCs w:val="22"/>
          <w:lang w:val="ru-RU"/>
        </w:rPr>
      </w:pPr>
      <w:r w:rsidRPr="00681F9B">
        <w:rPr>
          <w:sz w:val="22"/>
          <w:szCs w:val="22"/>
          <w:lang w:val="ru-RU"/>
        </w:rPr>
        <w:t>4. Орел М. В. Основн</w:t>
      </w:r>
      <w:r w:rsidRPr="00681F9B">
        <w:rPr>
          <w:sz w:val="22"/>
          <w:szCs w:val="22"/>
        </w:rPr>
        <w:t>і компоненти професійної компетенції перекладача</w:t>
      </w:r>
      <w:r w:rsidRPr="00681F9B">
        <w:rPr>
          <w:sz w:val="22"/>
          <w:szCs w:val="22"/>
          <w:lang w:val="ru-RU"/>
        </w:rPr>
        <w:t xml:space="preserve"> [Ел</w:t>
      </w:r>
      <w:r w:rsidRPr="00681F9B">
        <w:rPr>
          <w:sz w:val="22"/>
          <w:szCs w:val="22"/>
        </w:rPr>
        <w:t>ектронний ресурс</w:t>
      </w:r>
      <w:r w:rsidRPr="00681F9B">
        <w:rPr>
          <w:sz w:val="22"/>
          <w:szCs w:val="22"/>
          <w:lang w:val="ru-RU"/>
        </w:rPr>
        <w:t xml:space="preserve">]. – </w:t>
      </w:r>
      <w:r w:rsidRPr="00681F9B">
        <w:rPr>
          <w:sz w:val="22"/>
          <w:szCs w:val="22"/>
        </w:rPr>
        <w:t>Режим доступу :</w:t>
      </w:r>
      <w:r w:rsidRPr="00681F9B">
        <w:rPr>
          <w:sz w:val="22"/>
          <w:szCs w:val="22"/>
          <w:lang w:val="ru-RU"/>
        </w:rPr>
        <w:t xml:space="preserve"> http://www.rusnauka.com/14_ENXXI_2012/Philologia/6_110105.doc.htm</w:t>
      </w:r>
    </w:p>
    <w:p w:rsidR="00D400B1" w:rsidRPr="00681F9B" w:rsidRDefault="00D400B1" w:rsidP="00D400B1">
      <w:pPr>
        <w:pStyle w:val="11"/>
        <w:tabs>
          <w:tab w:val="left" w:pos="0"/>
        </w:tabs>
        <w:spacing w:line="240" w:lineRule="auto"/>
        <w:ind w:left="0" w:firstLine="567"/>
        <w:rPr>
          <w:spacing w:val="-4"/>
          <w:sz w:val="22"/>
          <w:szCs w:val="22"/>
          <w:lang w:val="ru-RU"/>
        </w:rPr>
      </w:pPr>
      <w:r w:rsidRPr="00681F9B">
        <w:rPr>
          <w:sz w:val="22"/>
          <w:szCs w:val="22"/>
          <w:lang w:val="ru-RU"/>
        </w:rPr>
        <w:t xml:space="preserve">5. </w:t>
      </w:r>
      <w:r w:rsidRPr="00681F9B">
        <w:rPr>
          <w:spacing w:val="-4"/>
          <w:sz w:val="22"/>
          <w:szCs w:val="22"/>
        </w:rPr>
        <w:t xml:space="preserve">Мирам Г. </w:t>
      </w:r>
      <w:r w:rsidRPr="00681F9B">
        <w:rPr>
          <w:spacing w:val="-4"/>
          <w:sz w:val="22"/>
          <w:szCs w:val="22"/>
          <w:lang w:val="ru-RU"/>
        </w:rPr>
        <w:t>Э. Профессия</w:t>
      </w:r>
      <w:proofErr w:type="gramStart"/>
      <w:r w:rsidRPr="00681F9B">
        <w:rPr>
          <w:spacing w:val="-4"/>
          <w:sz w:val="22"/>
          <w:szCs w:val="22"/>
          <w:lang w:val="ru-RU"/>
        </w:rPr>
        <w:t xml:space="preserve"> :</w:t>
      </w:r>
      <w:proofErr w:type="gramEnd"/>
      <w:r w:rsidRPr="00681F9B">
        <w:rPr>
          <w:spacing w:val="-4"/>
          <w:sz w:val="22"/>
          <w:szCs w:val="22"/>
          <w:lang w:val="ru-RU"/>
        </w:rPr>
        <w:t xml:space="preserve"> переводчик / Г. Э. Мирам. – К.</w:t>
      </w:r>
      <w:proofErr w:type="gramStart"/>
      <w:r w:rsidRPr="00681F9B">
        <w:rPr>
          <w:spacing w:val="-4"/>
          <w:sz w:val="22"/>
          <w:szCs w:val="22"/>
          <w:lang w:val="ru-RU"/>
        </w:rPr>
        <w:t xml:space="preserve"> :</w:t>
      </w:r>
      <w:proofErr w:type="gramEnd"/>
      <w:r w:rsidRPr="00681F9B">
        <w:rPr>
          <w:spacing w:val="-4"/>
          <w:sz w:val="22"/>
          <w:szCs w:val="22"/>
          <w:lang w:val="ru-RU"/>
        </w:rPr>
        <w:t xml:space="preserve"> Ника-Центр, 1999. – 144 с.</w:t>
      </w:r>
    </w:p>
    <w:p w:rsidR="00D400B1" w:rsidRPr="00681F9B" w:rsidRDefault="00D400B1" w:rsidP="00D400B1">
      <w:pPr>
        <w:pStyle w:val="11"/>
        <w:tabs>
          <w:tab w:val="left" w:pos="0"/>
        </w:tabs>
        <w:spacing w:line="240" w:lineRule="auto"/>
        <w:ind w:left="0" w:firstLine="567"/>
        <w:rPr>
          <w:sz w:val="22"/>
          <w:szCs w:val="22"/>
          <w:lang w:val="ru-RU"/>
        </w:rPr>
      </w:pPr>
      <w:r w:rsidRPr="00681F9B">
        <w:rPr>
          <w:sz w:val="22"/>
          <w:szCs w:val="22"/>
          <w:lang w:val="ru-RU"/>
        </w:rPr>
        <w:t xml:space="preserve">6. Чередніченко О. Складові професійної компетенції письмового та усного перекладача / </w:t>
      </w:r>
      <w:r w:rsidRPr="00681F9B">
        <w:rPr>
          <w:sz w:val="22"/>
          <w:szCs w:val="22"/>
        </w:rPr>
        <w:t xml:space="preserve">О. Чередниченко </w:t>
      </w:r>
      <w:r w:rsidRPr="00681F9B">
        <w:rPr>
          <w:sz w:val="22"/>
          <w:szCs w:val="22"/>
          <w:lang w:val="ru-RU"/>
        </w:rPr>
        <w:t xml:space="preserve">// </w:t>
      </w:r>
      <w:proofErr w:type="gramStart"/>
      <w:r w:rsidRPr="00681F9B">
        <w:rPr>
          <w:sz w:val="22"/>
          <w:szCs w:val="22"/>
        </w:rPr>
        <w:t>Вісник</w:t>
      </w:r>
      <w:proofErr w:type="gramEnd"/>
      <w:r w:rsidRPr="00681F9B">
        <w:rPr>
          <w:sz w:val="22"/>
          <w:szCs w:val="22"/>
        </w:rPr>
        <w:t xml:space="preserve"> Київського національного університету ім. Тараса Шевченка</w:t>
      </w:r>
      <w:r w:rsidRPr="00681F9B">
        <w:rPr>
          <w:sz w:val="22"/>
          <w:szCs w:val="22"/>
          <w:lang w:val="ru-RU"/>
        </w:rPr>
        <w:t>. –  2007. – № 41. Іноземна філологія. – С. 25–27.</w:t>
      </w:r>
    </w:p>
    <w:p w:rsidR="00D400B1" w:rsidRPr="00681F9B" w:rsidRDefault="00D400B1" w:rsidP="00D400B1">
      <w:pPr>
        <w:pStyle w:val="11"/>
        <w:tabs>
          <w:tab w:val="left" w:pos="0"/>
        </w:tabs>
        <w:spacing w:line="240" w:lineRule="auto"/>
        <w:ind w:left="0" w:firstLine="567"/>
        <w:rPr>
          <w:sz w:val="22"/>
          <w:szCs w:val="22"/>
          <w:lang w:val="ru-RU"/>
        </w:rPr>
      </w:pPr>
      <w:r w:rsidRPr="00681F9B">
        <w:rPr>
          <w:sz w:val="22"/>
          <w:szCs w:val="22"/>
          <w:lang w:val="ru-RU"/>
        </w:rPr>
        <w:t xml:space="preserve">7. Вишняускене Д. Концепция формирования переводческой компетенции при обучении переводу технической литературы / </w:t>
      </w:r>
      <w:r w:rsidRPr="00681F9B">
        <w:rPr>
          <w:sz w:val="22"/>
          <w:szCs w:val="22"/>
        </w:rPr>
        <w:t xml:space="preserve">Д. </w:t>
      </w:r>
      <w:r w:rsidRPr="00681F9B">
        <w:rPr>
          <w:sz w:val="22"/>
          <w:szCs w:val="22"/>
          <w:lang w:val="ru-RU"/>
        </w:rPr>
        <w:t xml:space="preserve">Вишняускене, Ж. Лечицкая // STUDIES ABOUT LANGUAGES. – 2009. – </w:t>
      </w:r>
      <w:proofErr w:type="gramStart"/>
      <w:r w:rsidRPr="00681F9B">
        <w:rPr>
          <w:sz w:val="22"/>
          <w:szCs w:val="22"/>
          <w:lang w:val="en-US"/>
        </w:rPr>
        <w:t>N</w:t>
      </w:r>
      <w:r w:rsidRPr="00681F9B">
        <w:rPr>
          <w:sz w:val="22"/>
          <w:szCs w:val="22"/>
          <w:lang w:val="ru-RU"/>
        </w:rPr>
        <w:t xml:space="preserve"> 15.</w:t>
      </w:r>
      <w:proofErr w:type="gramEnd"/>
      <w:r w:rsidRPr="00681F9B">
        <w:rPr>
          <w:sz w:val="22"/>
          <w:szCs w:val="22"/>
          <w:lang w:val="ru-RU"/>
        </w:rPr>
        <w:t xml:space="preserve"> – </w:t>
      </w:r>
      <w:r w:rsidRPr="00681F9B">
        <w:rPr>
          <w:sz w:val="22"/>
          <w:szCs w:val="22"/>
          <w:lang w:val="en-US"/>
        </w:rPr>
        <w:t>P</w:t>
      </w:r>
      <w:r w:rsidRPr="00681F9B">
        <w:rPr>
          <w:sz w:val="22"/>
          <w:szCs w:val="22"/>
          <w:lang w:val="ru-RU"/>
        </w:rPr>
        <w:t>. 94–103.</w:t>
      </w:r>
    </w:p>
    <w:p w:rsidR="00D400B1" w:rsidRPr="00681F9B" w:rsidRDefault="00D400B1" w:rsidP="00D400B1">
      <w:pPr>
        <w:pStyle w:val="11"/>
        <w:spacing w:line="240" w:lineRule="auto"/>
        <w:ind w:left="0" w:firstLine="567"/>
        <w:rPr>
          <w:sz w:val="22"/>
          <w:szCs w:val="22"/>
          <w:lang w:val="ru-RU"/>
        </w:rPr>
      </w:pPr>
    </w:p>
    <w:p w:rsidR="00D400B1" w:rsidRPr="00681F9B" w:rsidRDefault="00D400B1" w:rsidP="00D400B1">
      <w:pPr>
        <w:pStyle w:val="11"/>
        <w:spacing w:line="240" w:lineRule="auto"/>
        <w:ind w:left="0" w:firstLine="567"/>
        <w:rPr>
          <w:b/>
          <w:sz w:val="22"/>
          <w:szCs w:val="22"/>
          <w:lang w:val="en-US"/>
        </w:rPr>
      </w:pPr>
      <w:r w:rsidRPr="00681F9B">
        <w:rPr>
          <w:b/>
          <w:sz w:val="22"/>
          <w:szCs w:val="22"/>
          <w:lang w:val="en-US"/>
        </w:rPr>
        <w:t xml:space="preserve">References </w:t>
      </w:r>
    </w:p>
    <w:p w:rsidR="00D400B1" w:rsidRPr="00681F9B" w:rsidRDefault="00D400B1" w:rsidP="00D400B1">
      <w:pPr>
        <w:pStyle w:val="11"/>
        <w:spacing w:line="240" w:lineRule="auto"/>
        <w:ind w:left="0" w:firstLine="567"/>
        <w:rPr>
          <w:sz w:val="22"/>
          <w:szCs w:val="22"/>
          <w:lang w:val="en-US"/>
        </w:rPr>
      </w:pPr>
      <w:r w:rsidRPr="00681F9B">
        <w:rPr>
          <w:sz w:val="22"/>
          <w:szCs w:val="22"/>
          <w:lang w:val="en-US"/>
        </w:rPr>
        <w:t>1. Grjaznuhina, TO 2006</w:t>
      </w:r>
      <w:r w:rsidRPr="00681F9B">
        <w:rPr>
          <w:sz w:val="22"/>
          <w:szCs w:val="22"/>
        </w:rPr>
        <w:t xml:space="preserve">, </w:t>
      </w:r>
      <w:r w:rsidRPr="00681F9B">
        <w:rPr>
          <w:sz w:val="22"/>
          <w:szCs w:val="22"/>
          <w:lang w:val="en-US"/>
        </w:rPr>
        <w:t xml:space="preserve">‘Paralelni korpucy tekctiv i mashinnyj pereklad’, </w:t>
      </w:r>
      <w:r w:rsidRPr="00681F9B">
        <w:rPr>
          <w:i/>
          <w:sz w:val="22"/>
          <w:szCs w:val="22"/>
          <w:lang w:val="en-US"/>
        </w:rPr>
        <w:t xml:space="preserve">Movoznavstvo, </w:t>
      </w:r>
      <w:r w:rsidRPr="00681F9B">
        <w:rPr>
          <w:sz w:val="22"/>
          <w:szCs w:val="22"/>
          <w:lang w:val="en-US"/>
        </w:rPr>
        <w:t>no 1, pp. 71–82.</w:t>
      </w:r>
    </w:p>
    <w:p w:rsidR="00D400B1" w:rsidRPr="00681F9B" w:rsidRDefault="00D400B1" w:rsidP="00D400B1">
      <w:pPr>
        <w:pStyle w:val="11"/>
        <w:spacing w:line="240" w:lineRule="auto"/>
        <w:ind w:left="0" w:firstLine="567"/>
        <w:rPr>
          <w:i/>
          <w:sz w:val="22"/>
          <w:szCs w:val="22"/>
          <w:lang w:val="en-US"/>
        </w:rPr>
      </w:pPr>
      <w:r w:rsidRPr="00681F9B">
        <w:rPr>
          <w:sz w:val="22"/>
          <w:szCs w:val="22"/>
          <w:lang w:val="en-US"/>
        </w:rPr>
        <w:t xml:space="preserve">2. Gile, D 2009, </w:t>
      </w:r>
      <w:r w:rsidRPr="00681F9B">
        <w:rPr>
          <w:i/>
          <w:sz w:val="22"/>
          <w:szCs w:val="22"/>
          <w:lang w:val="en-US"/>
        </w:rPr>
        <w:t xml:space="preserve">Basic concepts and models for interpreter and translator training, </w:t>
      </w:r>
      <w:r w:rsidRPr="00681F9B">
        <w:rPr>
          <w:sz w:val="22"/>
          <w:szCs w:val="22"/>
          <w:lang w:val="en-US"/>
        </w:rPr>
        <w:t>John Benjamin Publishing Company.</w:t>
      </w:r>
    </w:p>
    <w:p w:rsidR="00D400B1" w:rsidRPr="00681F9B" w:rsidRDefault="00D400B1" w:rsidP="00D400B1">
      <w:pPr>
        <w:pStyle w:val="11"/>
        <w:spacing w:line="240" w:lineRule="auto"/>
        <w:ind w:left="0" w:firstLine="567"/>
        <w:rPr>
          <w:sz w:val="22"/>
          <w:szCs w:val="22"/>
          <w:lang w:val="en-US"/>
        </w:rPr>
      </w:pPr>
      <w:r w:rsidRPr="00681F9B">
        <w:rPr>
          <w:sz w:val="22"/>
          <w:szCs w:val="22"/>
          <w:lang w:val="en-US"/>
        </w:rPr>
        <w:t xml:space="preserve">3. Competences for professional translators, experts in multilingual and multimedia communication, http://ec.europa.eu/dgs/translation/programes/emt/key_documents/emt_competences_translators_en.pdf. </w:t>
      </w:r>
    </w:p>
    <w:p w:rsidR="00D400B1" w:rsidRPr="00681F9B" w:rsidRDefault="00D400B1" w:rsidP="00D400B1">
      <w:pPr>
        <w:pStyle w:val="11"/>
        <w:spacing w:line="240" w:lineRule="auto"/>
        <w:ind w:left="0" w:firstLine="567"/>
        <w:rPr>
          <w:i/>
          <w:sz w:val="22"/>
          <w:szCs w:val="22"/>
          <w:lang w:val="en-US"/>
        </w:rPr>
      </w:pPr>
      <w:r w:rsidRPr="00681F9B">
        <w:rPr>
          <w:sz w:val="22"/>
          <w:szCs w:val="22"/>
          <w:lang w:val="en-US"/>
        </w:rPr>
        <w:t xml:space="preserve">4. Miram, EG 1999, </w:t>
      </w:r>
      <w:proofErr w:type="gramStart"/>
      <w:r w:rsidRPr="00681F9B">
        <w:rPr>
          <w:i/>
          <w:sz w:val="22"/>
          <w:szCs w:val="22"/>
          <w:lang w:val="en-US"/>
        </w:rPr>
        <w:t>Profesija :</w:t>
      </w:r>
      <w:proofErr w:type="gramEnd"/>
      <w:r w:rsidRPr="00681F9B">
        <w:rPr>
          <w:i/>
          <w:sz w:val="22"/>
          <w:szCs w:val="22"/>
          <w:lang w:val="en-US"/>
        </w:rPr>
        <w:t xml:space="preserve"> perevodchik</w:t>
      </w:r>
      <w:r w:rsidRPr="00681F9B">
        <w:rPr>
          <w:sz w:val="22"/>
          <w:szCs w:val="22"/>
          <w:lang w:val="en-US"/>
        </w:rPr>
        <w:t>, Nika-Centr, Moskva.</w:t>
      </w:r>
    </w:p>
    <w:p w:rsidR="00D400B1" w:rsidRPr="00681F9B" w:rsidRDefault="00D400B1" w:rsidP="00D400B1">
      <w:pPr>
        <w:pStyle w:val="11"/>
        <w:spacing w:line="240" w:lineRule="auto"/>
        <w:ind w:left="0" w:firstLine="567"/>
        <w:rPr>
          <w:sz w:val="22"/>
          <w:szCs w:val="22"/>
          <w:lang w:val="en-US"/>
        </w:rPr>
      </w:pPr>
      <w:r w:rsidRPr="00681F9B">
        <w:rPr>
          <w:sz w:val="22"/>
          <w:szCs w:val="22"/>
          <w:lang w:val="en-US"/>
        </w:rPr>
        <w:t xml:space="preserve">5. Orel, MV 2012, </w:t>
      </w:r>
      <w:r w:rsidRPr="00681F9B">
        <w:rPr>
          <w:i/>
          <w:sz w:val="22"/>
          <w:szCs w:val="22"/>
          <w:lang w:val="en-US"/>
        </w:rPr>
        <w:t xml:space="preserve">Osnovni componenty profesijnoj competencii perekladacha, </w:t>
      </w:r>
      <w:r w:rsidRPr="00681F9B">
        <w:rPr>
          <w:sz w:val="22"/>
          <w:szCs w:val="22"/>
          <w:lang w:val="en-US"/>
        </w:rPr>
        <w:t>http://www.rusnauka.com/14_ENXXI_2012/Philologia/6_110105.doc.htm.</w:t>
      </w:r>
    </w:p>
    <w:p w:rsidR="00D400B1" w:rsidRPr="00681F9B" w:rsidRDefault="00D400B1" w:rsidP="00D400B1">
      <w:pPr>
        <w:pStyle w:val="11"/>
        <w:spacing w:line="240" w:lineRule="auto"/>
        <w:ind w:left="0" w:firstLine="567"/>
        <w:rPr>
          <w:i/>
          <w:sz w:val="22"/>
          <w:szCs w:val="22"/>
          <w:lang w:val="en-US"/>
        </w:rPr>
      </w:pPr>
      <w:r w:rsidRPr="00681F9B">
        <w:rPr>
          <w:sz w:val="22"/>
          <w:szCs w:val="22"/>
          <w:lang w:val="en-US"/>
        </w:rPr>
        <w:t>6. Cherednichenko, O 2007, ‘Skladovi profesijnoj competencii pismovogo ta usnogo perekladacha’</w:t>
      </w:r>
      <w:r w:rsidRPr="00681F9B">
        <w:rPr>
          <w:i/>
          <w:sz w:val="22"/>
          <w:szCs w:val="22"/>
          <w:lang w:val="en-US"/>
        </w:rPr>
        <w:t xml:space="preserve">, Visnyk Kyivskogo nacionalnogo universitetu imeni Tarasa Shevchenka, </w:t>
      </w:r>
      <w:r w:rsidRPr="00681F9B">
        <w:rPr>
          <w:sz w:val="22"/>
          <w:szCs w:val="22"/>
          <w:lang w:val="en-US"/>
        </w:rPr>
        <w:t>no 41, pp. 25–27.</w:t>
      </w:r>
    </w:p>
    <w:p w:rsidR="00D400B1" w:rsidRPr="00681F9B" w:rsidRDefault="00D400B1" w:rsidP="00D400B1">
      <w:pPr>
        <w:pStyle w:val="11"/>
        <w:spacing w:line="240" w:lineRule="auto"/>
        <w:ind w:left="0" w:firstLine="567"/>
        <w:rPr>
          <w:i/>
          <w:sz w:val="22"/>
          <w:szCs w:val="22"/>
          <w:lang w:val="en-US"/>
        </w:rPr>
      </w:pPr>
      <w:r w:rsidRPr="00681F9B">
        <w:rPr>
          <w:sz w:val="22"/>
          <w:szCs w:val="22"/>
          <w:lang w:val="en-US"/>
        </w:rPr>
        <w:t xml:space="preserve">7. Vyshnjauskene, D, Lechickaja, </w:t>
      </w:r>
      <w:proofErr w:type="gramStart"/>
      <w:r w:rsidRPr="00681F9B">
        <w:rPr>
          <w:sz w:val="22"/>
          <w:szCs w:val="22"/>
          <w:lang w:val="en-US"/>
        </w:rPr>
        <w:t>Gh</w:t>
      </w:r>
      <w:proofErr w:type="gramEnd"/>
      <w:r w:rsidRPr="00681F9B">
        <w:rPr>
          <w:sz w:val="22"/>
          <w:szCs w:val="22"/>
          <w:lang w:val="en-US"/>
        </w:rPr>
        <w:t>, 2009, ‘Kohcepcija formirovanija perevodcheskoy</w:t>
      </w:r>
      <w:r w:rsidRPr="00681F9B">
        <w:rPr>
          <w:i/>
          <w:sz w:val="22"/>
          <w:szCs w:val="22"/>
          <w:lang w:val="en-US"/>
        </w:rPr>
        <w:t xml:space="preserve"> </w:t>
      </w:r>
      <w:r w:rsidRPr="00681F9B">
        <w:rPr>
          <w:sz w:val="22"/>
          <w:szCs w:val="22"/>
          <w:lang w:val="en-US"/>
        </w:rPr>
        <w:t xml:space="preserve">competencii pri obuchenii perevodu tehnicheskoy literatury’, </w:t>
      </w:r>
      <w:r w:rsidRPr="00681F9B">
        <w:rPr>
          <w:i/>
          <w:sz w:val="22"/>
          <w:szCs w:val="22"/>
          <w:lang w:val="en-US"/>
        </w:rPr>
        <w:t>Studies about languages</w:t>
      </w:r>
      <w:r w:rsidRPr="00681F9B">
        <w:rPr>
          <w:sz w:val="22"/>
          <w:szCs w:val="22"/>
          <w:lang w:val="en-US"/>
        </w:rPr>
        <w:t>, no 15, pp. 94–103.</w:t>
      </w:r>
    </w:p>
    <w:p w:rsidR="00D400B1" w:rsidRPr="00681F9B" w:rsidRDefault="00D400B1" w:rsidP="00D400B1">
      <w:pPr>
        <w:pStyle w:val="11"/>
        <w:spacing w:line="240" w:lineRule="auto"/>
        <w:ind w:left="0" w:firstLine="567"/>
        <w:rPr>
          <w:i/>
          <w:sz w:val="22"/>
          <w:szCs w:val="22"/>
          <w:lang w:val="en-US"/>
        </w:rPr>
      </w:pPr>
    </w:p>
    <w:p w:rsidR="00D400B1" w:rsidRPr="003F5830" w:rsidRDefault="00D400B1" w:rsidP="00D400B1">
      <w:pPr>
        <w:pStyle w:val="11"/>
        <w:spacing w:line="240" w:lineRule="auto"/>
        <w:ind w:left="0" w:firstLine="567"/>
        <w:rPr>
          <w:sz w:val="22"/>
          <w:szCs w:val="22"/>
        </w:rPr>
      </w:pPr>
      <w:r w:rsidRPr="003F5830">
        <w:rPr>
          <w:i/>
          <w:sz w:val="22"/>
          <w:szCs w:val="22"/>
        </w:rPr>
        <w:t xml:space="preserve">Стаття надійшла до редакції </w:t>
      </w:r>
      <w:r>
        <w:rPr>
          <w:i/>
          <w:sz w:val="22"/>
          <w:szCs w:val="22"/>
          <w:lang w:val="ru-RU"/>
        </w:rPr>
        <w:t>14</w:t>
      </w:r>
      <w:r w:rsidRPr="003F5830">
        <w:rPr>
          <w:i/>
          <w:sz w:val="22"/>
          <w:szCs w:val="22"/>
        </w:rPr>
        <w:t>.08.2015р</w:t>
      </w:r>
    </w:p>
    <w:p w:rsidR="00DC6424" w:rsidRPr="00105938" w:rsidRDefault="00DC6424" w:rsidP="00105938">
      <w:pPr>
        <w:spacing w:after="0" w:line="240" w:lineRule="auto"/>
        <w:rPr>
          <w:rFonts w:ascii="Times New Roman" w:hAnsi="Times New Roman"/>
          <w:lang w:val="uk-UA"/>
        </w:rPr>
      </w:pPr>
    </w:p>
    <w:sectPr w:rsidR="00DC6424" w:rsidRPr="00105938" w:rsidSect="006458F6">
      <w:headerReference w:type="default" r:id="rId8"/>
      <w:footerReference w:type="default" r:id="rId9"/>
      <w:pgSz w:w="11906" w:h="16838"/>
      <w:pgMar w:top="1588" w:right="1588"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97A" w:rsidRDefault="00A4597A" w:rsidP="006458F6">
      <w:pPr>
        <w:spacing w:after="0" w:line="240" w:lineRule="auto"/>
      </w:pPr>
      <w:r>
        <w:separator/>
      </w:r>
    </w:p>
  </w:endnote>
  <w:endnote w:type="continuationSeparator" w:id="0">
    <w:p w:rsidR="00A4597A" w:rsidRDefault="00A4597A" w:rsidP="00645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F6" w:rsidRPr="004F6473" w:rsidRDefault="006458F6" w:rsidP="006458F6">
    <w:pPr>
      <w:spacing w:after="0" w:line="240" w:lineRule="auto"/>
      <w:rPr>
        <w:rFonts w:ascii="Times New Roman" w:hAnsi="Times New Roman"/>
        <w:b/>
        <w:sz w:val="24"/>
        <w:szCs w:val="24"/>
        <w:lang w:val="uk-UA"/>
      </w:rPr>
    </w:pPr>
    <w:r w:rsidRPr="006458F6">
      <w:rPr>
        <w:rFonts w:ascii="Times New Roman" w:hAnsi="Times New Roman"/>
        <w:b/>
        <w:sz w:val="24"/>
        <w:szCs w:val="24"/>
        <w:lang w:val="uk-UA"/>
      </w:rPr>
      <w:t>©</w:t>
    </w:r>
    <w:r w:rsidR="00105938" w:rsidRPr="00105938">
      <w:rPr>
        <w:rFonts w:ascii="Times New Roman" w:hAnsi="Times New Roman"/>
        <w:b/>
      </w:rPr>
      <w:t xml:space="preserve"> </w:t>
    </w:r>
    <w:r w:rsidR="004F6473" w:rsidRPr="004F6473">
      <w:rPr>
        <w:rFonts w:ascii="Times New Roman" w:hAnsi="Times New Roman"/>
        <w:b/>
        <w:sz w:val="24"/>
        <w:szCs w:val="24"/>
        <w:lang w:val="uk-UA"/>
      </w:rPr>
      <w:t>Зеленська О.М</w:t>
    </w:r>
    <w:r w:rsidR="00105938" w:rsidRPr="004F6473">
      <w:rPr>
        <w:rFonts w:ascii="Times New Roman" w:hAnsi="Times New Roman"/>
        <w:b/>
        <w:sz w:val="24"/>
        <w:szCs w:val="24"/>
      </w:rPr>
      <w:t>.</w:t>
    </w:r>
    <w:r w:rsidRPr="004F6473">
      <w:rPr>
        <w:rFonts w:ascii="Times New Roman" w:hAnsi="Times New Roman"/>
        <w:b/>
        <w:sz w:val="24"/>
        <w:szCs w:val="24"/>
        <w:lang w:val="uk-UA"/>
      </w:rPr>
      <w:t>, 2015</w:t>
    </w:r>
  </w:p>
  <w:p w:rsidR="006458F6" w:rsidRDefault="006458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97A" w:rsidRDefault="00A4597A" w:rsidP="006458F6">
      <w:pPr>
        <w:spacing w:after="0" w:line="240" w:lineRule="auto"/>
      </w:pPr>
      <w:r>
        <w:separator/>
      </w:r>
    </w:p>
  </w:footnote>
  <w:footnote w:type="continuationSeparator" w:id="0">
    <w:p w:rsidR="00A4597A" w:rsidRDefault="00A4597A" w:rsidP="00645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F6" w:rsidRPr="00105938" w:rsidRDefault="006458F6" w:rsidP="006458F6">
    <w:pPr>
      <w:pStyle w:val="a6"/>
      <w:rPr>
        <w:rFonts w:asciiTheme="minorHAnsi" w:eastAsia="TimesNewRoman" w:hAnsiTheme="minorHAnsi" w:cs="TimesNewRoman"/>
        <w:sz w:val="24"/>
        <w:szCs w:val="24"/>
        <w:lang w:val="uk-UA" w:eastAsia="en-US"/>
      </w:rPr>
    </w:pPr>
    <w:r w:rsidRPr="00D07D6C">
      <w:rPr>
        <w:rFonts w:ascii="TimesNewRomanPSMT" w:eastAsiaTheme="minorHAnsi" w:hAnsi="TimesNewRomanPSMT" w:cs="TimesNewRomanPSMT"/>
        <w:sz w:val="24"/>
        <w:szCs w:val="24"/>
        <w:lang w:eastAsia="en-US"/>
      </w:rPr>
      <w:t>ISSN 2074-8922 «Проблеми інженерно-педагогічної освіти», 201</w:t>
    </w:r>
    <w:r w:rsidRPr="00D07D6C">
      <w:rPr>
        <w:rFonts w:ascii="TimesNewRoman" w:eastAsia="TimesNewRoman" w:hAnsi="TimesNewRomanPSMT" w:cs="TimesNewRoman"/>
        <w:sz w:val="24"/>
        <w:szCs w:val="24"/>
        <w:lang w:eastAsia="en-US"/>
      </w:rPr>
      <w:t>5</w:t>
    </w:r>
    <w:r w:rsidRPr="00D07D6C">
      <w:rPr>
        <w:rFonts w:ascii="TimesNewRomanPSMT" w:eastAsiaTheme="minorHAnsi" w:hAnsi="TimesNewRomanPSMT" w:cs="TimesNewRomanPSMT"/>
        <w:sz w:val="24"/>
        <w:szCs w:val="24"/>
        <w:lang w:eastAsia="en-US"/>
      </w:rPr>
      <w:t>, № 4</w:t>
    </w:r>
    <w:r w:rsidR="00105938">
      <w:rPr>
        <w:rFonts w:asciiTheme="minorHAnsi" w:eastAsia="TimesNewRoman" w:hAnsiTheme="minorHAnsi" w:cs="TimesNewRoman"/>
        <w:sz w:val="24"/>
        <w:szCs w:val="24"/>
        <w:lang w:val="uk-UA" w:eastAsia="en-US"/>
      </w:rPr>
      <w:t>7</w:t>
    </w:r>
  </w:p>
  <w:p w:rsidR="006458F6" w:rsidRPr="00D07D6C" w:rsidRDefault="006458F6" w:rsidP="006458F6">
    <w:pPr>
      <w:pStyle w:val="a6"/>
      <w:rPr>
        <w:rFonts w:asciiTheme="minorHAnsi" w:hAnsiTheme="minorHAnsi"/>
        <w:b/>
        <w:sz w:val="24"/>
        <w:szCs w:val="24"/>
        <w:lang w:val="uk-UA"/>
      </w:rPr>
    </w:pPr>
    <w:r w:rsidRPr="00D07D6C">
      <w:rPr>
        <w:rFonts w:asciiTheme="minorHAnsi" w:eastAsiaTheme="minorHAnsi" w:hAnsiTheme="minorHAnsi" w:cs="MyriadPro-Regular"/>
        <w:b/>
        <w:color w:val="231F20"/>
        <w:sz w:val="24"/>
        <w:szCs w:val="24"/>
        <w:lang w:val="uk-UA" w:eastAsia="en-US"/>
      </w:rPr>
      <w:t>МЕТОДИКА НАВЧАННЯ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315"/>
    <w:multiLevelType w:val="hybridMultilevel"/>
    <w:tmpl w:val="7114A7D4"/>
    <w:lvl w:ilvl="0" w:tplc="988A5C84">
      <w:start w:val="1"/>
      <w:numFmt w:val="bullet"/>
      <w:lvlText w:val=""/>
      <w:lvlJc w:val="left"/>
      <w:pPr>
        <w:tabs>
          <w:tab w:val="num" w:pos="1134"/>
        </w:tabs>
        <w:ind w:left="0" w:firstLine="85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1C6C08"/>
    <w:multiLevelType w:val="hybridMultilevel"/>
    <w:tmpl w:val="6F847D64"/>
    <w:lvl w:ilvl="0" w:tplc="988A5C84">
      <w:start w:val="1"/>
      <w:numFmt w:val="bullet"/>
      <w:lvlText w:val=""/>
      <w:lvlJc w:val="left"/>
      <w:pPr>
        <w:tabs>
          <w:tab w:val="num" w:pos="1134"/>
        </w:tabs>
        <w:ind w:left="0" w:firstLine="85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rsids>
    <w:rsidRoot w:val="006458F6"/>
    <w:rsid w:val="00105938"/>
    <w:rsid w:val="003E421C"/>
    <w:rsid w:val="004F6473"/>
    <w:rsid w:val="0060453C"/>
    <w:rsid w:val="006458F6"/>
    <w:rsid w:val="00A4597A"/>
    <w:rsid w:val="00D400B1"/>
    <w:rsid w:val="00DC6424"/>
    <w:rsid w:val="00F04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87"/>
        <o:r id="V:Rule2" type="connector" idref="#_x0000_s1056"/>
        <o:r id="V:Rule3" type="connector" idref="#_x0000_s1058"/>
        <o:r id="V:Rule4" type="connector" idref="#_x0000_s1057"/>
        <o:r id="V:Rule5" type="connector" idref="#_x0000_s1089"/>
        <o:r id="V:Rule6" type="connector" idref="#_x0000_s1062"/>
        <o:r id="V:Rule7" type="connector" idref="#_x0000_s1088"/>
        <o:r id="V:Rule8" type="connector" idref="#_x0000_s1061"/>
        <o:r id="V:Rule9" type="connector" idref="#_x0000_s1101"/>
        <o:r id="V:Rule10" type="connector" idref="#_x0000_s1059"/>
        <o:r id="V:Rule11" type="connector" idref="#_x0000_s1092"/>
        <o:r id="V:Rule12" type="connector" idref="#_x0000_s1060"/>
        <o:r id="V:Rule13" type="connector" idref="#_x0000_s1100"/>
        <o:r id="V:Rule14" type="connector" idref="#_x0000_s1093"/>
        <o:r id="V:Rule15" type="connector" idref="#_x0000_s1099"/>
        <o:r id="V:Rule16" type="connector" idref="#_x0000_s1065"/>
        <o:r id="V:Rule17" type="connector" idref="#_x0000_s1098"/>
        <o:r id="V:Rule18" type="connector" idref="#_x0000_s1066"/>
        <o:r id="V:Rule19" type="connector" idref="#_x0000_s1097"/>
        <o:r id="V:Rule20" type="connector" idref="#_x0000_s1069"/>
        <o:r id="V:Rule21" type="connector" idref="#_x0000_s1096"/>
        <o:r id="V:Rule22" type="connector" idref="#_x0000_s1067"/>
        <o:r id="V:Rule23" type="connector" idref="#_x0000_s1094"/>
        <o:r id="V:Rule24" type="connector" idref="#_x0000_s1063"/>
        <o:r id="V:Rule25" type="connector" idref="#_x0000_s1064"/>
        <o:r id="V:Rule26" type="connector" idref="#_x0000_s1103"/>
        <o:r id="V:Rule27" type="connector" idref="#_x0000_s1083"/>
        <o:r id="V:Rule28" type="connector" idref="#_x0000_s1090"/>
        <o:r id="V:Rule29" type="connector" idref="#_x0000_s1102"/>
        <o:r id="V:Rule30" type="connector" idref="#_x0000_s1085"/>
        <o:r id="V:Rule31" type="connector" idref="#_x0000_s1091"/>
        <o:r id="V:Rule32"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F6"/>
    <w:rPr>
      <w:rFonts w:ascii="Calibri" w:eastAsia="Times New Roman" w:hAnsi="Calibri" w:cs="Times New Roman"/>
      <w:lang w:eastAsia="ru-RU"/>
    </w:rPr>
  </w:style>
  <w:style w:type="paragraph" w:styleId="1">
    <w:name w:val="heading 1"/>
    <w:basedOn w:val="a"/>
    <w:next w:val="a"/>
    <w:link w:val="10"/>
    <w:uiPriority w:val="9"/>
    <w:qFormat/>
    <w:rsid w:val="00105938"/>
    <w:pPr>
      <w:spacing w:before="480" w:after="0"/>
      <w:contextualSpacing/>
      <w:outlineLvl w:val="0"/>
    </w:pPr>
    <w:rPr>
      <w:rFonts w:ascii="Cambria" w:hAnsi="Cambria"/>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458F6"/>
    <w:pPr>
      <w:spacing w:after="0" w:line="240" w:lineRule="auto"/>
      <w:ind w:left="720"/>
      <w:contextualSpacing/>
    </w:pPr>
    <w:rPr>
      <w:rFonts w:ascii="Times New Roman" w:hAnsi="Times New Roman"/>
      <w:sz w:val="24"/>
      <w:szCs w:val="24"/>
    </w:rPr>
  </w:style>
  <w:style w:type="character" w:styleId="a4">
    <w:name w:val="Hyperlink"/>
    <w:basedOn w:val="a0"/>
    <w:uiPriority w:val="99"/>
    <w:unhideWhenUsed/>
    <w:rsid w:val="006458F6"/>
    <w:rPr>
      <w:color w:val="0000FF"/>
      <w:u w:val="single"/>
    </w:rPr>
  </w:style>
  <w:style w:type="paragraph" w:customStyle="1" w:styleId="a5">
    <w:name w:val="основа"/>
    <w:basedOn w:val="a"/>
    <w:rsid w:val="006458F6"/>
    <w:pPr>
      <w:spacing w:after="0" w:line="360" w:lineRule="auto"/>
      <w:ind w:firstLine="709"/>
      <w:jc w:val="both"/>
    </w:pPr>
    <w:rPr>
      <w:rFonts w:ascii="Times New Roman" w:hAnsi="Times New Roman"/>
      <w:sz w:val="28"/>
      <w:szCs w:val="24"/>
      <w:lang w:val="uk-UA"/>
    </w:rPr>
  </w:style>
  <w:style w:type="paragraph" w:styleId="a6">
    <w:name w:val="header"/>
    <w:basedOn w:val="a"/>
    <w:link w:val="a7"/>
    <w:uiPriority w:val="99"/>
    <w:unhideWhenUsed/>
    <w:rsid w:val="006458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58F6"/>
    <w:rPr>
      <w:rFonts w:ascii="Calibri" w:eastAsia="Times New Roman" w:hAnsi="Calibri" w:cs="Times New Roman"/>
      <w:lang w:eastAsia="ru-RU"/>
    </w:rPr>
  </w:style>
  <w:style w:type="paragraph" w:styleId="a8">
    <w:name w:val="footer"/>
    <w:basedOn w:val="a"/>
    <w:link w:val="a9"/>
    <w:uiPriority w:val="99"/>
    <w:semiHidden/>
    <w:unhideWhenUsed/>
    <w:rsid w:val="006458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458F6"/>
    <w:rPr>
      <w:rFonts w:ascii="Calibri" w:eastAsia="Times New Roman" w:hAnsi="Calibri" w:cs="Times New Roman"/>
      <w:lang w:eastAsia="ru-RU"/>
    </w:rPr>
  </w:style>
  <w:style w:type="character" w:customStyle="1" w:styleId="10">
    <w:name w:val="Заголовок 1 Знак"/>
    <w:basedOn w:val="a0"/>
    <w:link w:val="1"/>
    <w:uiPriority w:val="9"/>
    <w:rsid w:val="00105938"/>
    <w:rPr>
      <w:rFonts w:ascii="Cambria" w:eastAsia="Times New Roman" w:hAnsi="Cambria" w:cs="Times New Roman"/>
      <w:b/>
      <w:bCs/>
      <w:sz w:val="28"/>
      <w:szCs w:val="28"/>
      <w:lang w:val="uk-UA" w:eastAsia="ru-RU"/>
    </w:rPr>
  </w:style>
  <w:style w:type="paragraph" w:styleId="aa">
    <w:name w:val="Normal (Web)"/>
    <w:basedOn w:val="a"/>
    <w:uiPriority w:val="99"/>
    <w:rsid w:val="00105938"/>
    <w:pPr>
      <w:spacing w:before="100" w:beforeAutospacing="1" w:after="100" w:afterAutospacing="1" w:line="240" w:lineRule="auto"/>
    </w:pPr>
    <w:rPr>
      <w:rFonts w:ascii="Times New Roman" w:hAnsi="Times New Roman"/>
      <w:sz w:val="24"/>
      <w:szCs w:val="24"/>
      <w:lang w:val="uk-UA" w:eastAsia="uk-UA"/>
    </w:rPr>
  </w:style>
  <w:style w:type="paragraph" w:styleId="2">
    <w:name w:val="Body Text 2"/>
    <w:basedOn w:val="a"/>
    <w:link w:val="20"/>
    <w:uiPriority w:val="99"/>
    <w:semiHidden/>
    <w:unhideWhenUsed/>
    <w:rsid w:val="00105938"/>
    <w:pPr>
      <w:spacing w:after="120" w:line="480" w:lineRule="auto"/>
      <w:ind w:firstLine="142"/>
      <w:jc w:val="both"/>
    </w:pPr>
    <w:rPr>
      <w:rFonts w:ascii="Times New Roman" w:hAnsi="Times New Roman"/>
      <w:sz w:val="28"/>
      <w:szCs w:val="28"/>
      <w:lang w:val="uk-UA"/>
    </w:rPr>
  </w:style>
  <w:style w:type="character" w:customStyle="1" w:styleId="20">
    <w:name w:val="Основной текст 2 Знак"/>
    <w:basedOn w:val="a0"/>
    <w:link w:val="2"/>
    <w:uiPriority w:val="99"/>
    <w:semiHidden/>
    <w:rsid w:val="00105938"/>
    <w:rPr>
      <w:rFonts w:ascii="Times New Roman" w:eastAsia="Times New Roman" w:hAnsi="Times New Roman" w:cs="Times New Roman"/>
      <w:sz w:val="28"/>
      <w:szCs w:val="28"/>
      <w:lang w:val="uk-UA" w:eastAsia="ru-RU"/>
    </w:rPr>
  </w:style>
  <w:style w:type="paragraph" w:styleId="HTML">
    <w:name w:val="HTML Preformatted"/>
    <w:basedOn w:val="a"/>
    <w:link w:val="HTML0"/>
    <w:uiPriority w:val="99"/>
    <w:unhideWhenUsed/>
    <w:rsid w:val="00105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rPr>
  </w:style>
  <w:style w:type="character" w:customStyle="1" w:styleId="HTML0">
    <w:name w:val="Стандартный HTML Знак"/>
    <w:basedOn w:val="a0"/>
    <w:link w:val="HTML"/>
    <w:uiPriority w:val="99"/>
    <w:rsid w:val="00105938"/>
    <w:rPr>
      <w:rFonts w:ascii="Courier New" w:eastAsia="Times New Roman" w:hAnsi="Courier New" w:cs="Times New Roman"/>
      <w:sz w:val="20"/>
      <w:szCs w:val="20"/>
      <w:lang w:val="uk-UA" w:eastAsia="ru-RU"/>
    </w:rPr>
  </w:style>
  <w:style w:type="character" w:customStyle="1" w:styleId="apple-converted-space">
    <w:name w:val="apple-converted-space"/>
    <w:basedOn w:val="a0"/>
    <w:rsid w:val="00105938"/>
  </w:style>
  <w:style w:type="paragraph" w:customStyle="1" w:styleId="11">
    <w:name w:val="Абзац списка1"/>
    <w:basedOn w:val="a"/>
    <w:rsid w:val="00D400B1"/>
    <w:pPr>
      <w:spacing w:after="0" w:line="360" w:lineRule="auto"/>
      <w:ind w:left="720" w:firstLine="142"/>
      <w:jc w:val="both"/>
    </w:pPr>
    <w:rPr>
      <w:rFonts w:ascii="Times New Roman" w:hAnsi="Times New Roman"/>
      <w:sz w:val="28"/>
      <w:szCs w:val="28"/>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_zee@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2524</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УИПА</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2</cp:revision>
  <dcterms:created xsi:type="dcterms:W3CDTF">2016-02-24T12:25:00Z</dcterms:created>
  <dcterms:modified xsi:type="dcterms:W3CDTF">2016-02-24T12:25:00Z</dcterms:modified>
</cp:coreProperties>
</file>