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0EF" w:rsidRDefault="007250EF" w:rsidP="007250EF">
      <w:pPr>
        <w:ind w:firstLine="360"/>
        <w:jc w:val="both"/>
        <w:rPr>
          <w:b/>
          <w:sz w:val="28"/>
          <w:szCs w:val="28"/>
          <w:lang w:val="uk-UA"/>
        </w:rPr>
      </w:pPr>
      <w:r>
        <w:rPr>
          <w:b/>
          <w:sz w:val="28"/>
          <w:szCs w:val="28"/>
          <w:lang w:val="uk-UA"/>
        </w:rPr>
        <w:t xml:space="preserve">Александров О.В., </w:t>
      </w:r>
      <w:proofErr w:type="spellStart"/>
      <w:r>
        <w:rPr>
          <w:b/>
          <w:sz w:val="28"/>
          <w:szCs w:val="28"/>
          <w:lang w:val="uk-UA"/>
        </w:rPr>
        <w:t>Ілюха</w:t>
      </w:r>
      <w:proofErr w:type="spellEnd"/>
      <w:r>
        <w:rPr>
          <w:b/>
          <w:sz w:val="28"/>
          <w:szCs w:val="28"/>
          <w:lang w:val="uk-UA"/>
        </w:rPr>
        <w:t xml:space="preserve"> М.Г., </w:t>
      </w:r>
      <w:proofErr w:type="spellStart"/>
      <w:r>
        <w:rPr>
          <w:b/>
          <w:sz w:val="28"/>
          <w:szCs w:val="28"/>
          <w:lang w:val="uk-UA"/>
        </w:rPr>
        <w:t>Скородумова</w:t>
      </w:r>
      <w:proofErr w:type="spellEnd"/>
      <w:r>
        <w:rPr>
          <w:b/>
          <w:sz w:val="28"/>
          <w:szCs w:val="28"/>
          <w:lang w:val="uk-UA"/>
        </w:rPr>
        <w:t xml:space="preserve"> О.Б., </w:t>
      </w:r>
      <w:proofErr w:type="spellStart"/>
      <w:r>
        <w:rPr>
          <w:b/>
          <w:sz w:val="28"/>
          <w:szCs w:val="28"/>
          <w:lang w:val="uk-UA"/>
        </w:rPr>
        <w:t>Цихановська</w:t>
      </w:r>
      <w:proofErr w:type="spellEnd"/>
      <w:r>
        <w:rPr>
          <w:b/>
          <w:sz w:val="28"/>
          <w:szCs w:val="28"/>
          <w:lang w:val="uk-UA"/>
        </w:rPr>
        <w:t xml:space="preserve"> І.В., Барсова З.В., </w:t>
      </w:r>
      <w:r w:rsidRPr="001F3B9B">
        <w:rPr>
          <w:szCs w:val="28"/>
          <w:lang w:val="uk-UA"/>
        </w:rPr>
        <w:t>УІПА, м. Харків</w:t>
      </w:r>
    </w:p>
    <w:p w:rsidR="007250EF" w:rsidRDefault="007250EF" w:rsidP="007250EF">
      <w:pPr>
        <w:ind w:firstLine="360"/>
        <w:jc w:val="both"/>
        <w:rPr>
          <w:b/>
          <w:sz w:val="28"/>
          <w:szCs w:val="28"/>
          <w:lang w:val="uk-UA"/>
        </w:rPr>
      </w:pPr>
      <w:r w:rsidRPr="00941551">
        <w:rPr>
          <w:b/>
          <w:sz w:val="28"/>
          <w:szCs w:val="28"/>
          <w:lang w:val="uk-UA"/>
        </w:rPr>
        <w:t>ДОСЛІДЖЕННЯ ВПЛИВУ ДОМІШКИ ЛІПІДО-МАГНЕТИТОВОЇ СУ</w:t>
      </w:r>
      <w:r>
        <w:rPr>
          <w:b/>
          <w:sz w:val="28"/>
          <w:szCs w:val="28"/>
          <w:lang w:val="uk-UA"/>
        </w:rPr>
        <w:t>-</w:t>
      </w:r>
      <w:r w:rsidRPr="00941551">
        <w:rPr>
          <w:b/>
          <w:sz w:val="28"/>
          <w:szCs w:val="28"/>
          <w:lang w:val="uk-UA"/>
        </w:rPr>
        <w:t>СПЕНЗІЇ</w:t>
      </w:r>
      <w:r>
        <w:rPr>
          <w:b/>
          <w:sz w:val="28"/>
          <w:szCs w:val="28"/>
          <w:lang w:val="uk-UA"/>
        </w:rPr>
        <w:t xml:space="preserve"> (ЛМС)</w:t>
      </w:r>
      <w:r w:rsidRPr="00941551">
        <w:rPr>
          <w:b/>
          <w:sz w:val="28"/>
          <w:szCs w:val="28"/>
          <w:lang w:val="uk-UA"/>
        </w:rPr>
        <w:t xml:space="preserve"> НА </w:t>
      </w:r>
      <w:r>
        <w:rPr>
          <w:b/>
          <w:sz w:val="28"/>
          <w:szCs w:val="28"/>
          <w:lang w:val="uk-UA"/>
        </w:rPr>
        <w:t>СТУПІНЬ ОКИСНЕННЯ В ПРОЦЕСІ ТЕРМО-ЦИКЛУВАННЯ  (частина 1)</w:t>
      </w:r>
    </w:p>
    <w:p w:rsidR="007250EF" w:rsidRPr="00470907" w:rsidRDefault="007250EF" w:rsidP="007250EF">
      <w:pPr>
        <w:ind w:firstLine="360"/>
        <w:jc w:val="both"/>
        <w:rPr>
          <w:sz w:val="28"/>
          <w:szCs w:val="28"/>
          <w:lang w:val="uk-UA"/>
        </w:rPr>
      </w:pPr>
    </w:p>
    <w:p w:rsidR="007250EF" w:rsidRDefault="007250EF" w:rsidP="007250EF">
      <w:pPr>
        <w:ind w:firstLine="360"/>
        <w:jc w:val="both"/>
        <w:rPr>
          <w:sz w:val="28"/>
          <w:szCs w:val="28"/>
          <w:lang w:val="uk-UA"/>
        </w:rPr>
      </w:pPr>
      <w:r>
        <w:rPr>
          <w:sz w:val="28"/>
          <w:szCs w:val="28"/>
          <w:lang w:val="uk-UA"/>
        </w:rPr>
        <w:t>У попередніх дослідженнях було встановлено, що використання ЛМС значно підвищує термін зберігання різних рослинних олій та твердих жирів. Але залишається не вивченим вплив кількості ЛМС на зниження ступеню окиснення олії при їх нагріванні.</w:t>
      </w:r>
    </w:p>
    <w:p w:rsidR="007250EF" w:rsidRDefault="007250EF" w:rsidP="007250EF">
      <w:pPr>
        <w:ind w:firstLine="426"/>
        <w:jc w:val="both"/>
        <w:rPr>
          <w:sz w:val="28"/>
          <w:szCs w:val="28"/>
          <w:lang w:val="uk-UA"/>
        </w:rPr>
      </w:pPr>
      <w:r>
        <w:rPr>
          <w:sz w:val="28"/>
          <w:szCs w:val="28"/>
          <w:lang w:val="uk-UA"/>
        </w:rPr>
        <w:t xml:space="preserve">Вивчення процесів, що відбуваються при нагріванні олій, особливо при дії </w:t>
      </w:r>
      <w:proofErr w:type="spellStart"/>
      <w:r>
        <w:rPr>
          <w:sz w:val="28"/>
          <w:szCs w:val="28"/>
          <w:lang w:val="uk-UA"/>
        </w:rPr>
        <w:t>термоциклічних</w:t>
      </w:r>
      <w:proofErr w:type="spellEnd"/>
      <w:r>
        <w:rPr>
          <w:sz w:val="28"/>
          <w:szCs w:val="28"/>
          <w:lang w:val="uk-UA"/>
        </w:rPr>
        <w:t xml:space="preserve"> навантажень та розробки шляхів підвищення стійкості олій до окиснення є актуальним для технологій виготовлення їжі в умовах «</w:t>
      </w:r>
      <w:proofErr w:type="spellStart"/>
      <w:r w:rsidRPr="00470907">
        <w:rPr>
          <w:sz w:val="28"/>
          <w:szCs w:val="28"/>
          <w:lang w:val="uk-UA"/>
        </w:rPr>
        <w:t>fasn</w:t>
      </w:r>
      <w:proofErr w:type="spellEnd"/>
      <w:r w:rsidRPr="006D3E3C">
        <w:rPr>
          <w:sz w:val="28"/>
          <w:szCs w:val="28"/>
          <w:lang w:val="uk-UA"/>
        </w:rPr>
        <w:t xml:space="preserve"> – </w:t>
      </w:r>
      <w:proofErr w:type="spellStart"/>
      <w:r w:rsidRPr="00470907">
        <w:rPr>
          <w:sz w:val="28"/>
          <w:szCs w:val="28"/>
          <w:lang w:val="uk-UA"/>
        </w:rPr>
        <w:t>food</w:t>
      </w:r>
      <w:proofErr w:type="spellEnd"/>
      <w:r>
        <w:rPr>
          <w:sz w:val="28"/>
          <w:szCs w:val="28"/>
          <w:lang w:val="uk-UA"/>
        </w:rPr>
        <w:t>».</w:t>
      </w:r>
    </w:p>
    <w:p w:rsidR="007250EF" w:rsidRDefault="007250EF" w:rsidP="007250EF">
      <w:pPr>
        <w:ind w:firstLine="426"/>
        <w:jc w:val="both"/>
        <w:rPr>
          <w:sz w:val="28"/>
          <w:szCs w:val="28"/>
          <w:lang w:val="uk-UA"/>
        </w:rPr>
      </w:pPr>
      <w:r>
        <w:rPr>
          <w:sz w:val="28"/>
          <w:szCs w:val="28"/>
          <w:lang w:val="uk-UA"/>
        </w:rPr>
        <w:t>Тому в даних дослідженнях вивчили вплив добавки ЛМС на змінення ступеню окиснення рафінованої соняшникової олії, при багаторазовій її термообробці в процесі одержання пончиків з дріжджового тіста.</w:t>
      </w:r>
    </w:p>
    <w:p w:rsidR="007250EF" w:rsidRPr="00470907" w:rsidRDefault="007250EF" w:rsidP="007250EF">
      <w:pPr>
        <w:ind w:firstLine="426"/>
        <w:jc w:val="both"/>
        <w:rPr>
          <w:sz w:val="28"/>
          <w:szCs w:val="28"/>
          <w:lang w:val="uk-UA"/>
        </w:rPr>
      </w:pPr>
      <w:r w:rsidRPr="00470907">
        <w:rPr>
          <w:b/>
          <w:i/>
          <w:sz w:val="28"/>
          <w:szCs w:val="28"/>
          <w:lang w:val="uk-UA"/>
        </w:rPr>
        <w:t>Для проведення експерименту було використано:</w:t>
      </w:r>
      <w:r w:rsidRPr="00470907">
        <w:rPr>
          <w:sz w:val="28"/>
          <w:szCs w:val="28"/>
          <w:lang w:val="uk-UA"/>
        </w:rPr>
        <w:t xml:space="preserve"> олія соняшникова 250 </w:t>
      </w:r>
      <w:proofErr w:type="spellStart"/>
      <w:r w:rsidRPr="00470907">
        <w:rPr>
          <w:sz w:val="28"/>
          <w:szCs w:val="28"/>
          <w:lang w:val="uk-UA"/>
        </w:rPr>
        <w:t>мл</w:t>
      </w:r>
      <w:proofErr w:type="spellEnd"/>
      <w:r>
        <w:rPr>
          <w:sz w:val="28"/>
          <w:szCs w:val="28"/>
          <w:lang w:val="uk-UA"/>
        </w:rPr>
        <w:t xml:space="preserve">; </w:t>
      </w:r>
      <w:r w:rsidRPr="00470907">
        <w:rPr>
          <w:sz w:val="28"/>
          <w:szCs w:val="28"/>
          <w:lang w:val="uk-UA"/>
        </w:rPr>
        <w:t xml:space="preserve">пончики  - </w:t>
      </w:r>
      <w:smartTag w:uri="urn:schemas-microsoft-com:office:smarttags" w:element="metricconverter">
        <w:smartTagPr>
          <w:attr w:name="ProductID" w:val="35 г"/>
        </w:smartTagPr>
        <w:r w:rsidRPr="00470907">
          <w:rPr>
            <w:sz w:val="28"/>
            <w:szCs w:val="28"/>
            <w:lang w:val="uk-UA"/>
          </w:rPr>
          <w:t>35 г</w:t>
        </w:r>
      </w:smartTag>
      <w:r>
        <w:rPr>
          <w:sz w:val="28"/>
          <w:szCs w:val="28"/>
          <w:lang w:val="uk-UA"/>
        </w:rPr>
        <w:t xml:space="preserve">; </w:t>
      </w:r>
      <w:proofErr w:type="spellStart"/>
      <w:r w:rsidRPr="00470907">
        <w:rPr>
          <w:sz w:val="28"/>
          <w:szCs w:val="28"/>
          <w:lang w:val="uk-UA"/>
        </w:rPr>
        <w:t>ліпідо</w:t>
      </w:r>
      <w:proofErr w:type="spellEnd"/>
      <w:r w:rsidRPr="00470907">
        <w:rPr>
          <w:sz w:val="28"/>
          <w:szCs w:val="28"/>
          <w:lang w:val="uk-UA"/>
        </w:rPr>
        <w:t xml:space="preserve"> – магнетитова суспензія </w:t>
      </w:r>
      <w:r>
        <w:rPr>
          <w:sz w:val="28"/>
          <w:szCs w:val="28"/>
          <w:lang w:val="uk-UA"/>
        </w:rPr>
        <w:t xml:space="preserve"> (ЛМС).</w:t>
      </w:r>
    </w:p>
    <w:p w:rsidR="007250EF" w:rsidRPr="00524857" w:rsidRDefault="007250EF" w:rsidP="007250EF">
      <w:pPr>
        <w:ind w:firstLine="426"/>
        <w:jc w:val="both"/>
        <w:rPr>
          <w:sz w:val="28"/>
          <w:szCs w:val="28"/>
          <w:lang w:val="uk-UA"/>
        </w:rPr>
      </w:pPr>
      <w:r w:rsidRPr="00524857">
        <w:rPr>
          <w:sz w:val="28"/>
          <w:szCs w:val="28"/>
          <w:lang w:val="uk-UA"/>
        </w:rPr>
        <w:t xml:space="preserve">В підготовлену соняшникову олію додаємо </w:t>
      </w:r>
      <w:r>
        <w:rPr>
          <w:sz w:val="28"/>
          <w:szCs w:val="28"/>
          <w:lang w:val="uk-UA"/>
        </w:rPr>
        <w:t xml:space="preserve">ЛМС </w:t>
      </w:r>
      <w:r w:rsidRPr="00524857">
        <w:rPr>
          <w:sz w:val="28"/>
          <w:szCs w:val="28"/>
          <w:lang w:val="uk-UA"/>
        </w:rPr>
        <w:t xml:space="preserve">і нагріваємо отриману суміш до температури 160 – 200 ˚С закладаємо </w:t>
      </w:r>
      <w:r>
        <w:rPr>
          <w:sz w:val="28"/>
          <w:szCs w:val="28"/>
          <w:lang w:val="uk-UA"/>
        </w:rPr>
        <w:t xml:space="preserve">пончики </w:t>
      </w:r>
      <w:r w:rsidRPr="00524857">
        <w:rPr>
          <w:sz w:val="28"/>
          <w:szCs w:val="28"/>
          <w:lang w:val="uk-UA"/>
        </w:rPr>
        <w:t xml:space="preserve">і смажимо до готовності на протязі 2 хвилин, після приготування </w:t>
      </w:r>
      <w:r>
        <w:rPr>
          <w:sz w:val="28"/>
          <w:szCs w:val="28"/>
          <w:lang w:val="uk-UA"/>
        </w:rPr>
        <w:t xml:space="preserve">пончиків </w:t>
      </w:r>
      <w:r w:rsidRPr="00524857">
        <w:rPr>
          <w:sz w:val="28"/>
          <w:szCs w:val="28"/>
          <w:lang w:val="uk-UA"/>
        </w:rPr>
        <w:t>відбираємо пробу олії, і г</w:t>
      </w:r>
      <w:r>
        <w:rPr>
          <w:sz w:val="28"/>
          <w:szCs w:val="28"/>
          <w:lang w:val="uk-UA"/>
        </w:rPr>
        <w:t>отуємо наступну навіску пончиків</w:t>
      </w:r>
      <w:r w:rsidRPr="00524857">
        <w:rPr>
          <w:sz w:val="28"/>
          <w:szCs w:val="28"/>
          <w:lang w:val="uk-UA"/>
        </w:rPr>
        <w:t>. Даний експеримент повторюємо 10 разів. В результаті ми отримуємо 10 проб  рослинної олія з</w:t>
      </w:r>
      <w:r>
        <w:rPr>
          <w:sz w:val="28"/>
          <w:szCs w:val="28"/>
          <w:lang w:val="uk-UA"/>
        </w:rPr>
        <w:t xml:space="preserve"> ЛМС</w:t>
      </w:r>
      <w:r w:rsidRPr="00524857">
        <w:rPr>
          <w:sz w:val="28"/>
          <w:szCs w:val="28"/>
          <w:lang w:val="uk-UA"/>
        </w:rPr>
        <w:t xml:space="preserve">. </w:t>
      </w:r>
    </w:p>
    <w:p w:rsidR="007250EF" w:rsidRDefault="007250EF" w:rsidP="007250EF">
      <w:pPr>
        <w:ind w:firstLine="426"/>
        <w:jc w:val="both"/>
        <w:rPr>
          <w:sz w:val="28"/>
          <w:szCs w:val="28"/>
          <w:lang w:val="uk-UA"/>
        </w:rPr>
      </w:pPr>
      <w:r>
        <w:rPr>
          <w:sz w:val="28"/>
          <w:szCs w:val="28"/>
          <w:lang w:val="uk-UA"/>
        </w:rPr>
        <w:t xml:space="preserve">Аналогічним методом відбираємо 10 проб рослинної олії з 10 термоциклів без додавання </w:t>
      </w:r>
      <w:proofErr w:type="spellStart"/>
      <w:r>
        <w:rPr>
          <w:sz w:val="28"/>
          <w:szCs w:val="28"/>
          <w:lang w:val="uk-UA"/>
        </w:rPr>
        <w:t>ліпідо</w:t>
      </w:r>
      <w:proofErr w:type="spellEnd"/>
      <w:r>
        <w:rPr>
          <w:sz w:val="28"/>
          <w:szCs w:val="28"/>
          <w:lang w:val="uk-UA"/>
        </w:rPr>
        <w:t xml:space="preserve"> – магнетитової суспензії.</w:t>
      </w:r>
    </w:p>
    <w:p w:rsidR="007250EF" w:rsidRPr="00141CFE" w:rsidRDefault="007250EF" w:rsidP="007250EF">
      <w:pPr>
        <w:ind w:firstLine="426"/>
        <w:jc w:val="both"/>
        <w:rPr>
          <w:sz w:val="28"/>
          <w:szCs w:val="28"/>
          <w:lang w:val="uk-UA"/>
        </w:rPr>
      </w:pPr>
      <w:r w:rsidRPr="00470907">
        <w:rPr>
          <w:b/>
          <w:i/>
          <w:sz w:val="28"/>
          <w:szCs w:val="28"/>
          <w:lang w:val="uk-UA"/>
        </w:rPr>
        <w:t>Опис експерименту:</w:t>
      </w:r>
      <w:r>
        <w:rPr>
          <w:b/>
          <w:i/>
          <w:sz w:val="28"/>
          <w:szCs w:val="28"/>
          <w:lang w:val="uk-UA"/>
        </w:rPr>
        <w:t xml:space="preserve"> </w:t>
      </w:r>
      <w:r w:rsidRPr="00470907">
        <w:rPr>
          <w:sz w:val="28"/>
          <w:szCs w:val="28"/>
          <w:lang w:val="uk-UA"/>
        </w:rPr>
        <w:t>Відповідність якості рослинних олій вимогам стандарту встановлюють за смаком, запахом, кольором, прозорості, кольоровості, кислотного і йодному числа, вмісту вологи, наявності відстою та ін.</w:t>
      </w:r>
    </w:p>
    <w:p w:rsidR="007250EF" w:rsidRDefault="007250EF" w:rsidP="007250EF">
      <w:pPr>
        <w:ind w:firstLine="425"/>
        <w:jc w:val="both"/>
        <w:rPr>
          <w:sz w:val="28"/>
          <w:szCs w:val="28"/>
          <w:lang w:val="uk-UA"/>
        </w:rPr>
      </w:pPr>
      <w:r w:rsidRPr="00470907">
        <w:rPr>
          <w:sz w:val="28"/>
          <w:szCs w:val="28"/>
          <w:lang w:val="uk-UA"/>
        </w:rPr>
        <w:t xml:space="preserve">З </w:t>
      </w:r>
      <w:proofErr w:type="spellStart"/>
      <w:r w:rsidRPr="00470907">
        <w:rPr>
          <w:sz w:val="28"/>
          <w:szCs w:val="28"/>
          <w:lang w:val="uk-UA"/>
        </w:rPr>
        <w:t>фiзико-хiмiчних</w:t>
      </w:r>
      <w:proofErr w:type="spellEnd"/>
      <w:r w:rsidRPr="00470907">
        <w:rPr>
          <w:sz w:val="28"/>
          <w:szCs w:val="28"/>
          <w:lang w:val="uk-UA"/>
        </w:rPr>
        <w:t xml:space="preserve"> характеристик </w:t>
      </w:r>
      <w:r>
        <w:rPr>
          <w:sz w:val="28"/>
          <w:szCs w:val="28"/>
          <w:lang w:val="uk-UA"/>
        </w:rPr>
        <w:t xml:space="preserve">ЛМС </w:t>
      </w:r>
      <w:r w:rsidRPr="00470907">
        <w:rPr>
          <w:sz w:val="28"/>
          <w:szCs w:val="28"/>
          <w:lang w:val="uk-UA"/>
        </w:rPr>
        <w:t xml:space="preserve">важливе значення має йодне число, </w:t>
      </w:r>
      <w:proofErr w:type="spellStart"/>
      <w:r w:rsidRPr="00470907">
        <w:rPr>
          <w:sz w:val="28"/>
          <w:szCs w:val="28"/>
          <w:lang w:val="uk-UA"/>
        </w:rPr>
        <w:t>пероксидне</w:t>
      </w:r>
      <w:proofErr w:type="spellEnd"/>
      <w:r>
        <w:rPr>
          <w:sz w:val="28"/>
          <w:szCs w:val="28"/>
          <w:lang w:val="uk-UA"/>
        </w:rPr>
        <w:t>,</w:t>
      </w:r>
      <w:r w:rsidRPr="00470907">
        <w:rPr>
          <w:sz w:val="28"/>
          <w:szCs w:val="28"/>
          <w:lang w:val="uk-UA"/>
        </w:rPr>
        <w:t xml:space="preserve"> а також кислотне число в отриманій суспензії. Ці показники є непрямою характеристикою хімічного складу</w:t>
      </w:r>
      <w:r>
        <w:rPr>
          <w:sz w:val="28"/>
          <w:szCs w:val="28"/>
          <w:lang w:val="uk-UA"/>
        </w:rPr>
        <w:t xml:space="preserve"> ЛМС</w:t>
      </w:r>
      <w:r w:rsidRPr="00B62D92">
        <w:rPr>
          <w:sz w:val="28"/>
          <w:szCs w:val="28"/>
          <w:lang w:val="uk-UA"/>
        </w:rPr>
        <w:t>. Паралельно з дослідженням суспензії</w:t>
      </w:r>
      <w:r>
        <w:rPr>
          <w:sz w:val="28"/>
          <w:szCs w:val="28"/>
          <w:lang w:val="uk-UA"/>
        </w:rPr>
        <w:t xml:space="preserve"> визначають вищенаведені числа в  соняшниковій олії, </w:t>
      </w:r>
      <w:r w:rsidRPr="00B62D92">
        <w:rPr>
          <w:sz w:val="28"/>
          <w:szCs w:val="28"/>
          <w:lang w:val="uk-UA"/>
        </w:rPr>
        <w:t>для визначення подальших їх змін у суспензії, до складу якої додано магнетит та схильність суспензії до хімічної взаємодії з іншими речовинами в процесі всього технологічного циклу її використання.</w:t>
      </w:r>
    </w:p>
    <w:p w:rsidR="007250EF" w:rsidRPr="00470907" w:rsidRDefault="007250EF" w:rsidP="007250EF">
      <w:pPr>
        <w:ind w:firstLine="425"/>
        <w:jc w:val="both"/>
        <w:rPr>
          <w:b/>
          <w:i/>
          <w:sz w:val="28"/>
          <w:szCs w:val="28"/>
          <w:lang w:val="uk-UA"/>
        </w:rPr>
      </w:pPr>
      <w:r w:rsidRPr="00470907">
        <w:rPr>
          <w:b/>
          <w:i/>
          <w:sz w:val="28"/>
          <w:szCs w:val="28"/>
          <w:lang w:val="uk-UA"/>
        </w:rPr>
        <w:t>Визначення кислотного  числа олійно-магнетитової суспензії</w:t>
      </w:r>
      <w:r>
        <w:rPr>
          <w:b/>
          <w:i/>
          <w:sz w:val="28"/>
          <w:szCs w:val="28"/>
          <w:lang w:val="uk-UA"/>
        </w:rPr>
        <w:t>.</w:t>
      </w:r>
    </w:p>
    <w:p w:rsidR="007250EF" w:rsidRPr="0063700B" w:rsidRDefault="007250EF" w:rsidP="007250EF">
      <w:pPr>
        <w:ind w:firstLine="426"/>
        <w:jc w:val="both"/>
        <w:rPr>
          <w:sz w:val="28"/>
          <w:szCs w:val="28"/>
          <w:lang w:val="uk-UA"/>
        </w:rPr>
      </w:pPr>
      <w:r w:rsidRPr="0063700B">
        <w:rPr>
          <w:sz w:val="28"/>
          <w:szCs w:val="28"/>
          <w:lang w:val="uk-UA"/>
        </w:rPr>
        <w:t xml:space="preserve">Згідно з ДСТУ 4492:2005  значення кислотного числа для рослинних  олій становить – 1-1,5 мг </w:t>
      </w:r>
      <w:proofErr w:type="spellStart"/>
      <w:r w:rsidRPr="0063700B">
        <w:rPr>
          <w:sz w:val="28"/>
          <w:szCs w:val="28"/>
          <w:lang w:val="uk-UA"/>
        </w:rPr>
        <w:t>КОН</w:t>
      </w:r>
      <w:proofErr w:type="spellEnd"/>
      <w:r w:rsidRPr="0063700B">
        <w:rPr>
          <w:sz w:val="28"/>
          <w:szCs w:val="28"/>
          <w:lang w:val="uk-UA"/>
        </w:rPr>
        <w:t>/г.</w:t>
      </w:r>
    </w:p>
    <w:p w:rsidR="007250EF" w:rsidRDefault="007250EF" w:rsidP="007250EF">
      <w:pPr>
        <w:ind w:firstLine="709"/>
        <w:jc w:val="both"/>
        <w:rPr>
          <w:sz w:val="28"/>
          <w:szCs w:val="28"/>
          <w:lang w:val="uk-UA"/>
        </w:rPr>
      </w:pPr>
      <w:r>
        <w:rPr>
          <w:sz w:val="28"/>
          <w:szCs w:val="28"/>
          <w:lang w:val="uk-UA"/>
        </w:rPr>
        <w:t xml:space="preserve">Усі проби відповідають стандарту, але як бачимо у пробах з магнетитом кислотне число менше та з плином часу кислотне число </w:t>
      </w:r>
      <w:proofErr w:type="spellStart"/>
      <w:r>
        <w:rPr>
          <w:sz w:val="28"/>
          <w:szCs w:val="28"/>
          <w:lang w:val="uk-UA"/>
        </w:rPr>
        <w:t>збіль-шується</w:t>
      </w:r>
      <w:proofErr w:type="spellEnd"/>
      <w:r>
        <w:rPr>
          <w:sz w:val="28"/>
          <w:szCs w:val="28"/>
          <w:lang w:val="uk-UA"/>
        </w:rPr>
        <w:t xml:space="preserve"> повільніше(зростає у середньому на 2-4%).</w:t>
      </w:r>
    </w:p>
    <w:p w:rsidR="007250EF" w:rsidRDefault="007250EF" w:rsidP="007250EF">
      <w:pPr>
        <w:ind w:firstLine="709"/>
        <w:jc w:val="both"/>
        <w:rPr>
          <w:sz w:val="28"/>
          <w:szCs w:val="28"/>
          <w:lang w:val="uk-UA"/>
        </w:rPr>
      </w:pPr>
      <w:r w:rsidRPr="00927576">
        <w:rPr>
          <w:sz w:val="28"/>
          <w:szCs w:val="28"/>
          <w:lang w:val="uk-UA"/>
        </w:rPr>
        <w:t>Тобто введення добавки магнетиту в рослинні  олії уповільнює  процеси гідролізу олії (накопичення вільних жирних кислот, які легше окислюються при нагріванні та зберіганні, визначаючи токсичність олії). А</w:t>
      </w:r>
      <w:r>
        <w:rPr>
          <w:sz w:val="28"/>
          <w:szCs w:val="28"/>
          <w:lang w:val="uk-UA"/>
        </w:rPr>
        <w:t xml:space="preserve"> </w:t>
      </w:r>
      <w:r w:rsidRPr="00927576">
        <w:rPr>
          <w:sz w:val="28"/>
          <w:szCs w:val="28"/>
          <w:lang w:val="uk-UA"/>
        </w:rPr>
        <w:t>значить, що Fe</w:t>
      </w:r>
      <w:r>
        <w:rPr>
          <w:sz w:val="28"/>
          <w:szCs w:val="28"/>
          <w:vertAlign w:val="subscript"/>
          <w:lang w:val="uk-UA"/>
        </w:rPr>
        <w:t>3</w:t>
      </w:r>
      <w:r w:rsidRPr="00927576">
        <w:rPr>
          <w:sz w:val="28"/>
          <w:szCs w:val="28"/>
          <w:lang w:val="uk-UA"/>
        </w:rPr>
        <w:t>О</w:t>
      </w:r>
      <w:r>
        <w:rPr>
          <w:sz w:val="28"/>
          <w:szCs w:val="28"/>
          <w:vertAlign w:val="subscript"/>
          <w:lang w:val="uk-UA"/>
        </w:rPr>
        <w:t>4</w:t>
      </w:r>
      <w:r w:rsidRPr="00927576">
        <w:rPr>
          <w:sz w:val="28"/>
          <w:szCs w:val="28"/>
          <w:lang w:val="uk-UA"/>
        </w:rPr>
        <w:t xml:space="preserve"> покращує якість олії та збільшує її  термі</w:t>
      </w:r>
      <w:r>
        <w:rPr>
          <w:sz w:val="28"/>
          <w:szCs w:val="28"/>
          <w:lang w:val="uk-UA"/>
        </w:rPr>
        <w:t>н зберігання.</w:t>
      </w:r>
    </w:p>
    <w:p w:rsidR="007250EF" w:rsidRDefault="007250EF" w:rsidP="007250EF">
      <w:pPr>
        <w:ind w:firstLine="709"/>
        <w:jc w:val="both"/>
        <w:rPr>
          <w:sz w:val="28"/>
          <w:szCs w:val="28"/>
          <w:lang w:val="uk-UA"/>
        </w:rPr>
      </w:pPr>
      <w:r>
        <w:rPr>
          <w:sz w:val="28"/>
          <w:szCs w:val="28"/>
          <w:lang w:val="uk-UA"/>
        </w:rPr>
        <w:lastRenderedPageBreak/>
        <w:t>На рис 1 зображено криву залежності кислотного числа (</w:t>
      </w:r>
      <w:r w:rsidRPr="0089245A">
        <w:rPr>
          <w:sz w:val="28"/>
          <w:szCs w:val="28"/>
          <w:lang w:val="uk-UA"/>
        </w:rPr>
        <w:t xml:space="preserve">мг </w:t>
      </w:r>
      <w:proofErr w:type="spellStart"/>
      <w:r>
        <w:rPr>
          <w:sz w:val="28"/>
          <w:szCs w:val="28"/>
          <w:lang w:val="uk-UA"/>
        </w:rPr>
        <w:t>КОН</w:t>
      </w:r>
      <w:proofErr w:type="spellEnd"/>
      <w:r>
        <w:rPr>
          <w:sz w:val="28"/>
          <w:szCs w:val="28"/>
          <w:lang w:val="uk-UA"/>
        </w:rPr>
        <w:t>/г)  рослинної олії з ЛМС від термічного навантаження.</w:t>
      </w:r>
    </w:p>
    <w:p w:rsidR="007250EF" w:rsidRPr="00E229D3" w:rsidRDefault="007250EF" w:rsidP="007250EF">
      <w:pPr>
        <w:ind w:firstLine="709"/>
        <w:jc w:val="both"/>
        <w:rPr>
          <w:sz w:val="28"/>
          <w:szCs w:val="28"/>
          <w:lang w:val="uk-UA"/>
        </w:rPr>
      </w:pPr>
    </w:p>
    <w:p w:rsidR="007250EF" w:rsidRDefault="007250EF" w:rsidP="007250EF">
      <w:pPr>
        <w:spacing w:line="360" w:lineRule="auto"/>
        <w:jc w:val="center"/>
        <w:rPr>
          <w:b/>
          <w:color w:val="000000"/>
          <w:sz w:val="28"/>
          <w:lang w:val="uk-UA"/>
        </w:rPr>
      </w:pPr>
      <w:r>
        <w:rPr>
          <w:b/>
          <w:noProof/>
          <w:color w:val="000000"/>
          <w:sz w:val="28"/>
          <w:lang w:val="uk-UA" w:eastAsia="uk-UA"/>
        </w:rPr>
        <w:drawing>
          <wp:inline distT="0" distB="0" distL="0" distR="0">
            <wp:extent cx="4511675" cy="2552065"/>
            <wp:effectExtent l="0" t="0" r="0" b="0"/>
            <wp:docPr id="1" name="Объект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rsidR="007250EF" w:rsidRDefault="007250EF" w:rsidP="007250EF">
      <w:pPr>
        <w:spacing w:line="360" w:lineRule="auto"/>
        <w:rPr>
          <w:sz w:val="28"/>
          <w:szCs w:val="28"/>
          <w:lang w:val="uk-UA"/>
        </w:rPr>
      </w:pPr>
      <w:r>
        <w:rPr>
          <w:sz w:val="28"/>
          <w:szCs w:val="28"/>
          <w:lang w:val="uk-UA"/>
        </w:rPr>
        <w:t xml:space="preserve">Рис.1  Залежність кислотного числа від </w:t>
      </w:r>
      <w:proofErr w:type="spellStart"/>
      <w:r>
        <w:rPr>
          <w:sz w:val="28"/>
          <w:szCs w:val="28"/>
          <w:lang w:val="uk-UA"/>
        </w:rPr>
        <w:t>термоциклічного</w:t>
      </w:r>
      <w:proofErr w:type="spellEnd"/>
      <w:r>
        <w:rPr>
          <w:sz w:val="28"/>
          <w:szCs w:val="28"/>
          <w:lang w:val="uk-UA"/>
        </w:rPr>
        <w:t xml:space="preserve"> навантаження</w:t>
      </w:r>
    </w:p>
    <w:p w:rsidR="007250EF" w:rsidRDefault="007250EF" w:rsidP="007250EF">
      <w:pPr>
        <w:ind w:firstLine="709"/>
        <w:jc w:val="both"/>
        <w:rPr>
          <w:sz w:val="28"/>
          <w:szCs w:val="28"/>
          <w:lang w:val="uk-UA"/>
        </w:rPr>
      </w:pPr>
    </w:p>
    <w:p w:rsidR="007250EF" w:rsidRDefault="007250EF" w:rsidP="007250EF">
      <w:pPr>
        <w:ind w:firstLine="709"/>
        <w:jc w:val="both"/>
        <w:rPr>
          <w:sz w:val="28"/>
          <w:szCs w:val="28"/>
          <w:lang w:val="uk-UA"/>
        </w:rPr>
      </w:pPr>
      <w:r w:rsidRPr="00AA2C42">
        <w:rPr>
          <w:sz w:val="28"/>
          <w:szCs w:val="28"/>
          <w:lang w:val="uk-UA"/>
        </w:rPr>
        <w:t xml:space="preserve">Аналізуючи отриманий графік залежності кислотного числа від кількості термоциклів, можна помітити, що значення кислотного числа соняшникової олії з </w:t>
      </w:r>
      <w:proofErr w:type="spellStart"/>
      <w:r w:rsidRPr="00AA2C42">
        <w:rPr>
          <w:sz w:val="28"/>
          <w:szCs w:val="28"/>
          <w:lang w:val="uk-UA"/>
        </w:rPr>
        <w:t>ліпідо</w:t>
      </w:r>
      <w:proofErr w:type="spellEnd"/>
      <w:r w:rsidRPr="00AA2C42">
        <w:rPr>
          <w:sz w:val="28"/>
          <w:szCs w:val="28"/>
          <w:lang w:val="uk-UA"/>
        </w:rPr>
        <w:t xml:space="preserve"> – магнетитовою с</w:t>
      </w:r>
      <w:r>
        <w:rPr>
          <w:sz w:val="28"/>
          <w:szCs w:val="28"/>
          <w:lang w:val="uk-UA"/>
        </w:rPr>
        <w:t xml:space="preserve">успензією поступово знижується. </w:t>
      </w:r>
      <w:r w:rsidRPr="008C546E">
        <w:rPr>
          <w:rFonts w:hint="eastAsia"/>
          <w:sz w:val="28"/>
          <w:szCs w:val="28"/>
          <w:lang w:val="uk-UA"/>
        </w:rPr>
        <w:t>Кислотне</w:t>
      </w:r>
      <w:r w:rsidRPr="008C546E">
        <w:rPr>
          <w:sz w:val="28"/>
          <w:szCs w:val="28"/>
          <w:lang w:val="uk-UA"/>
        </w:rPr>
        <w:t xml:space="preserve"> </w:t>
      </w:r>
      <w:r w:rsidRPr="008C546E">
        <w:rPr>
          <w:rFonts w:hint="eastAsia"/>
          <w:sz w:val="28"/>
          <w:szCs w:val="28"/>
          <w:lang w:val="uk-UA"/>
        </w:rPr>
        <w:t>число</w:t>
      </w:r>
      <w:r w:rsidRPr="008C546E">
        <w:rPr>
          <w:sz w:val="28"/>
          <w:szCs w:val="28"/>
          <w:lang w:val="uk-UA"/>
        </w:rPr>
        <w:t xml:space="preserve"> </w:t>
      </w:r>
      <w:r w:rsidRPr="008C546E">
        <w:rPr>
          <w:rFonts w:hint="eastAsia"/>
          <w:sz w:val="28"/>
          <w:szCs w:val="28"/>
          <w:lang w:val="uk-UA"/>
        </w:rPr>
        <w:t>кількісно</w:t>
      </w:r>
      <w:r w:rsidRPr="008C546E">
        <w:rPr>
          <w:sz w:val="28"/>
          <w:szCs w:val="28"/>
          <w:lang w:val="uk-UA"/>
        </w:rPr>
        <w:t xml:space="preserve"> </w:t>
      </w:r>
      <w:r w:rsidRPr="008C546E">
        <w:rPr>
          <w:rFonts w:hint="eastAsia"/>
          <w:sz w:val="28"/>
          <w:szCs w:val="28"/>
          <w:lang w:val="uk-UA"/>
        </w:rPr>
        <w:t>оцінює</w:t>
      </w:r>
      <w:r w:rsidRPr="008C546E">
        <w:rPr>
          <w:sz w:val="28"/>
          <w:szCs w:val="28"/>
          <w:lang w:val="uk-UA"/>
        </w:rPr>
        <w:t xml:space="preserve"> </w:t>
      </w:r>
      <w:r w:rsidRPr="008C546E">
        <w:rPr>
          <w:rFonts w:hint="eastAsia"/>
          <w:sz w:val="28"/>
          <w:szCs w:val="28"/>
          <w:lang w:val="uk-UA"/>
        </w:rPr>
        <w:t>наявність</w:t>
      </w:r>
      <w:r w:rsidRPr="008C546E">
        <w:rPr>
          <w:sz w:val="28"/>
          <w:szCs w:val="28"/>
          <w:lang w:val="uk-UA"/>
        </w:rPr>
        <w:t xml:space="preserve"> </w:t>
      </w:r>
      <w:r w:rsidRPr="008C546E">
        <w:rPr>
          <w:rFonts w:hint="eastAsia"/>
          <w:sz w:val="28"/>
          <w:szCs w:val="28"/>
          <w:lang w:val="uk-UA"/>
        </w:rPr>
        <w:t>вільних</w:t>
      </w:r>
      <w:r w:rsidRPr="008C546E">
        <w:rPr>
          <w:sz w:val="28"/>
          <w:szCs w:val="28"/>
          <w:lang w:val="uk-UA"/>
        </w:rPr>
        <w:t xml:space="preserve"> </w:t>
      </w:r>
      <w:r w:rsidRPr="008C546E">
        <w:rPr>
          <w:rFonts w:hint="eastAsia"/>
          <w:sz w:val="28"/>
          <w:szCs w:val="28"/>
          <w:lang w:val="uk-UA"/>
        </w:rPr>
        <w:t>карбонових</w:t>
      </w:r>
      <w:r w:rsidRPr="008C546E">
        <w:rPr>
          <w:sz w:val="28"/>
          <w:szCs w:val="28"/>
          <w:lang w:val="uk-UA"/>
        </w:rPr>
        <w:t xml:space="preserve"> </w:t>
      </w:r>
      <w:r w:rsidRPr="008C546E">
        <w:rPr>
          <w:rFonts w:hint="eastAsia"/>
          <w:sz w:val="28"/>
          <w:szCs w:val="28"/>
          <w:lang w:val="uk-UA"/>
        </w:rPr>
        <w:t>кислот</w:t>
      </w:r>
      <w:r w:rsidRPr="008C546E">
        <w:rPr>
          <w:sz w:val="28"/>
          <w:szCs w:val="28"/>
          <w:lang w:val="uk-UA"/>
        </w:rPr>
        <w:t xml:space="preserve"> </w:t>
      </w:r>
      <w:r w:rsidRPr="008C546E">
        <w:rPr>
          <w:rFonts w:hint="eastAsia"/>
          <w:sz w:val="28"/>
          <w:szCs w:val="28"/>
          <w:lang w:val="uk-UA"/>
        </w:rPr>
        <w:t>у</w:t>
      </w:r>
      <w:r w:rsidRPr="008C546E">
        <w:rPr>
          <w:sz w:val="28"/>
          <w:szCs w:val="28"/>
          <w:lang w:val="uk-UA"/>
        </w:rPr>
        <w:t xml:space="preserve"> </w:t>
      </w:r>
      <w:r w:rsidRPr="008C546E">
        <w:rPr>
          <w:rFonts w:hint="eastAsia"/>
          <w:sz w:val="28"/>
          <w:szCs w:val="28"/>
          <w:lang w:val="uk-UA"/>
        </w:rPr>
        <w:t>жирі</w:t>
      </w:r>
      <w:r w:rsidRPr="008C546E">
        <w:rPr>
          <w:sz w:val="28"/>
          <w:szCs w:val="28"/>
          <w:lang w:val="uk-UA"/>
        </w:rPr>
        <w:t>/</w:t>
      </w:r>
      <w:r w:rsidRPr="008C546E">
        <w:rPr>
          <w:rFonts w:hint="eastAsia"/>
          <w:sz w:val="28"/>
          <w:szCs w:val="28"/>
          <w:lang w:val="uk-UA"/>
        </w:rPr>
        <w:t>олії</w:t>
      </w:r>
      <w:r w:rsidRPr="008C546E">
        <w:rPr>
          <w:sz w:val="28"/>
          <w:szCs w:val="28"/>
          <w:lang w:val="uk-UA"/>
        </w:rPr>
        <w:t>.</w:t>
      </w:r>
    </w:p>
    <w:p w:rsidR="007250EF" w:rsidRDefault="007250EF" w:rsidP="007250EF">
      <w:pPr>
        <w:ind w:firstLine="142"/>
        <w:jc w:val="both"/>
        <w:rPr>
          <w:sz w:val="28"/>
          <w:szCs w:val="28"/>
          <w:lang w:val="uk-UA"/>
        </w:rPr>
      </w:pPr>
    </w:p>
    <w:p w:rsidR="007250EF" w:rsidRDefault="007250EF" w:rsidP="007250EF">
      <w:pPr>
        <w:ind w:firstLine="142"/>
        <w:jc w:val="center"/>
        <w:rPr>
          <w:b/>
          <w:sz w:val="28"/>
          <w:szCs w:val="28"/>
          <w:lang w:val="uk-UA"/>
        </w:rPr>
      </w:pPr>
      <w:r>
        <w:rPr>
          <w:b/>
          <w:sz w:val="28"/>
          <w:szCs w:val="28"/>
          <w:lang w:val="uk-UA"/>
        </w:rPr>
        <w:t>Література</w:t>
      </w:r>
    </w:p>
    <w:p w:rsidR="007250EF" w:rsidRPr="0014576F" w:rsidRDefault="007250EF" w:rsidP="007250EF">
      <w:pPr>
        <w:ind w:firstLine="709"/>
        <w:jc w:val="both"/>
        <w:rPr>
          <w:sz w:val="28"/>
          <w:szCs w:val="28"/>
          <w:lang w:val="uk-UA"/>
        </w:rPr>
      </w:pPr>
      <w:r>
        <w:rPr>
          <w:sz w:val="28"/>
          <w:szCs w:val="28"/>
          <w:lang w:val="uk-UA"/>
        </w:rPr>
        <w:t xml:space="preserve">1. </w:t>
      </w:r>
      <w:proofErr w:type="spellStart"/>
      <w:r w:rsidRPr="0014576F">
        <w:rPr>
          <w:sz w:val="28"/>
          <w:szCs w:val="28"/>
          <w:lang w:val="uk-UA"/>
        </w:rPr>
        <w:t>Эммануэль</w:t>
      </w:r>
      <w:proofErr w:type="spellEnd"/>
      <w:r w:rsidRPr="0014576F">
        <w:rPr>
          <w:sz w:val="28"/>
          <w:szCs w:val="28"/>
          <w:lang w:val="uk-UA"/>
        </w:rPr>
        <w:t xml:space="preserve"> Н.М., </w:t>
      </w:r>
      <w:proofErr w:type="spellStart"/>
      <w:r w:rsidRPr="0014576F">
        <w:rPr>
          <w:sz w:val="28"/>
          <w:szCs w:val="28"/>
          <w:lang w:val="uk-UA"/>
        </w:rPr>
        <w:t>Лясковская</w:t>
      </w:r>
      <w:proofErr w:type="spellEnd"/>
      <w:r w:rsidRPr="0014576F">
        <w:rPr>
          <w:sz w:val="28"/>
          <w:szCs w:val="28"/>
          <w:lang w:val="uk-UA"/>
        </w:rPr>
        <w:t xml:space="preserve"> Ю.Н. </w:t>
      </w:r>
      <w:proofErr w:type="spellStart"/>
      <w:r w:rsidRPr="0014576F">
        <w:rPr>
          <w:sz w:val="28"/>
          <w:szCs w:val="28"/>
          <w:lang w:val="uk-UA"/>
        </w:rPr>
        <w:t>Торможение</w:t>
      </w:r>
      <w:proofErr w:type="spellEnd"/>
      <w:r w:rsidRPr="0014576F">
        <w:rPr>
          <w:sz w:val="28"/>
          <w:szCs w:val="28"/>
          <w:lang w:val="uk-UA"/>
        </w:rPr>
        <w:t xml:space="preserve"> </w:t>
      </w:r>
      <w:proofErr w:type="spellStart"/>
      <w:r w:rsidRPr="0014576F">
        <w:rPr>
          <w:sz w:val="28"/>
          <w:szCs w:val="28"/>
          <w:lang w:val="uk-UA"/>
        </w:rPr>
        <w:t>процесса</w:t>
      </w:r>
      <w:proofErr w:type="spellEnd"/>
      <w:r w:rsidRPr="0014576F">
        <w:rPr>
          <w:sz w:val="28"/>
          <w:szCs w:val="28"/>
          <w:lang w:val="uk-UA"/>
        </w:rPr>
        <w:t xml:space="preserve"> </w:t>
      </w:r>
      <w:proofErr w:type="spellStart"/>
      <w:r w:rsidRPr="0014576F">
        <w:rPr>
          <w:sz w:val="28"/>
          <w:szCs w:val="28"/>
          <w:lang w:val="uk-UA"/>
        </w:rPr>
        <w:t>окисления</w:t>
      </w:r>
      <w:proofErr w:type="spellEnd"/>
      <w:r w:rsidRPr="0014576F">
        <w:rPr>
          <w:sz w:val="28"/>
          <w:szCs w:val="28"/>
          <w:lang w:val="uk-UA"/>
        </w:rPr>
        <w:t xml:space="preserve"> </w:t>
      </w:r>
      <w:proofErr w:type="spellStart"/>
      <w:r w:rsidRPr="0014576F">
        <w:rPr>
          <w:sz w:val="28"/>
          <w:szCs w:val="28"/>
          <w:lang w:val="uk-UA"/>
        </w:rPr>
        <w:t>жиров</w:t>
      </w:r>
      <w:proofErr w:type="spellEnd"/>
      <w:r w:rsidRPr="0014576F">
        <w:rPr>
          <w:sz w:val="28"/>
          <w:szCs w:val="28"/>
          <w:lang w:val="uk-UA"/>
        </w:rPr>
        <w:t xml:space="preserve">. М.: </w:t>
      </w:r>
      <w:proofErr w:type="spellStart"/>
      <w:r w:rsidRPr="0014576F">
        <w:rPr>
          <w:sz w:val="28"/>
          <w:szCs w:val="28"/>
          <w:lang w:val="uk-UA"/>
        </w:rPr>
        <w:t>Пищепромиздат</w:t>
      </w:r>
      <w:proofErr w:type="spellEnd"/>
      <w:r w:rsidRPr="0014576F">
        <w:rPr>
          <w:sz w:val="28"/>
          <w:szCs w:val="28"/>
          <w:lang w:val="uk-UA"/>
        </w:rPr>
        <w:t>, 1961. – 360 с.</w:t>
      </w:r>
    </w:p>
    <w:p w:rsidR="007250EF" w:rsidRPr="0014576F" w:rsidRDefault="007250EF" w:rsidP="007250EF">
      <w:pPr>
        <w:ind w:firstLine="709"/>
        <w:jc w:val="both"/>
        <w:rPr>
          <w:sz w:val="28"/>
          <w:szCs w:val="28"/>
          <w:lang w:val="uk-UA"/>
        </w:rPr>
      </w:pPr>
      <w:r w:rsidRPr="0014576F">
        <w:rPr>
          <w:sz w:val="28"/>
          <w:szCs w:val="28"/>
          <w:lang w:val="uk-UA"/>
        </w:rPr>
        <w:t xml:space="preserve">2. </w:t>
      </w:r>
      <w:proofErr w:type="spellStart"/>
      <w:r w:rsidRPr="0014576F">
        <w:rPr>
          <w:sz w:val="28"/>
          <w:szCs w:val="28"/>
          <w:lang w:val="uk-UA"/>
        </w:rPr>
        <w:t>Halliwell</w:t>
      </w:r>
      <w:proofErr w:type="spellEnd"/>
      <w:r w:rsidRPr="0014576F">
        <w:rPr>
          <w:sz w:val="28"/>
          <w:szCs w:val="28"/>
          <w:lang w:val="uk-UA"/>
        </w:rPr>
        <w:t xml:space="preserve"> B., </w:t>
      </w:r>
      <w:proofErr w:type="spellStart"/>
      <w:r w:rsidRPr="0014576F">
        <w:rPr>
          <w:sz w:val="28"/>
          <w:szCs w:val="28"/>
          <w:lang w:val="uk-UA"/>
        </w:rPr>
        <w:t>Aeschbach</w:t>
      </w:r>
      <w:proofErr w:type="spellEnd"/>
      <w:r w:rsidRPr="0014576F">
        <w:rPr>
          <w:sz w:val="28"/>
          <w:szCs w:val="28"/>
          <w:lang w:val="uk-UA"/>
        </w:rPr>
        <w:t xml:space="preserve"> R., </w:t>
      </w:r>
      <w:proofErr w:type="spellStart"/>
      <w:r w:rsidRPr="0014576F">
        <w:rPr>
          <w:sz w:val="28"/>
          <w:szCs w:val="28"/>
          <w:lang w:val="uk-UA"/>
        </w:rPr>
        <w:t>Löliger</w:t>
      </w:r>
      <w:proofErr w:type="spellEnd"/>
      <w:r w:rsidRPr="0014576F">
        <w:rPr>
          <w:sz w:val="28"/>
          <w:szCs w:val="28"/>
          <w:lang w:val="uk-UA"/>
        </w:rPr>
        <w:t xml:space="preserve"> J., </w:t>
      </w:r>
      <w:proofErr w:type="spellStart"/>
      <w:r w:rsidRPr="0014576F">
        <w:rPr>
          <w:sz w:val="28"/>
          <w:szCs w:val="28"/>
          <w:lang w:val="uk-UA"/>
        </w:rPr>
        <w:t>Aruoma</w:t>
      </w:r>
      <w:proofErr w:type="spellEnd"/>
      <w:r w:rsidRPr="0014576F">
        <w:rPr>
          <w:sz w:val="28"/>
          <w:szCs w:val="28"/>
          <w:lang w:val="uk-UA"/>
        </w:rPr>
        <w:t xml:space="preserve"> O.I.//</w:t>
      </w:r>
      <w:proofErr w:type="spellStart"/>
      <w:r w:rsidRPr="0014576F">
        <w:rPr>
          <w:sz w:val="28"/>
          <w:szCs w:val="28"/>
          <w:lang w:val="uk-UA"/>
        </w:rPr>
        <w:t>Food</w:t>
      </w:r>
      <w:proofErr w:type="spellEnd"/>
      <w:r w:rsidRPr="0014576F">
        <w:rPr>
          <w:sz w:val="28"/>
          <w:szCs w:val="28"/>
          <w:lang w:val="uk-UA"/>
        </w:rPr>
        <w:t xml:space="preserve"> </w:t>
      </w:r>
      <w:proofErr w:type="spellStart"/>
      <w:r w:rsidRPr="0014576F">
        <w:rPr>
          <w:sz w:val="28"/>
          <w:szCs w:val="28"/>
          <w:lang w:val="uk-UA"/>
        </w:rPr>
        <w:t>Chem.Toxicol</w:t>
      </w:r>
      <w:proofErr w:type="spellEnd"/>
      <w:r w:rsidRPr="0014576F">
        <w:rPr>
          <w:sz w:val="28"/>
          <w:szCs w:val="28"/>
          <w:lang w:val="uk-UA"/>
        </w:rPr>
        <w:t>. – 1995, - Vol.33, p.601.</w:t>
      </w:r>
    </w:p>
    <w:p w:rsidR="007250EF" w:rsidRPr="0014576F" w:rsidRDefault="007250EF" w:rsidP="007250EF">
      <w:pPr>
        <w:ind w:firstLine="709"/>
        <w:jc w:val="both"/>
        <w:rPr>
          <w:sz w:val="28"/>
          <w:szCs w:val="28"/>
          <w:lang w:val="uk-UA"/>
        </w:rPr>
      </w:pPr>
      <w:r w:rsidRPr="00777CA0">
        <w:rPr>
          <w:sz w:val="28"/>
          <w:szCs w:val="28"/>
          <w:lang w:val="uk-UA"/>
        </w:rPr>
        <w:t>3.</w:t>
      </w:r>
      <w:r w:rsidRPr="0014576F">
        <w:rPr>
          <w:sz w:val="28"/>
          <w:szCs w:val="28"/>
          <w:lang w:val="uk-UA"/>
        </w:rPr>
        <w:t xml:space="preserve"> Х</w:t>
      </w:r>
      <w:r w:rsidRPr="00777CA0">
        <w:rPr>
          <w:sz w:val="28"/>
          <w:szCs w:val="28"/>
          <w:lang w:val="uk-UA"/>
        </w:rPr>
        <w:t>і</w:t>
      </w:r>
      <w:r w:rsidRPr="0014576F">
        <w:rPr>
          <w:sz w:val="28"/>
          <w:szCs w:val="28"/>
          <w:lang w:val="uk-UA"/>
        </w:rPr>
        <w:t>м</w:t>
      </w:r>
      <w:r w:rsidRPr="00777CA0">
        <w:rPr>
          <w:sz w:val="28"/>
          <w:szCs w:val="28"/>
          <w:lang w:val="uk-UA"/>
        </w:rPr>
        <w:t>і</w:t>
      </w:r>
      <w:r w:rsidRPr="0014576F">
        <w:rPr>
          <w:sz w:val="28"/>
          <w:szCs w:val="28"/>
          <w:lang w:val="uk-UA"/>
        </w:rPr>
        <w:t>я</w:t>
      </w:r>
      <w:r w:rsidRPr="00777CA0">
        <w:rPr>
          <w:sz w:val="28"/>
          <w:szCs w:val="28"/>
          <w:lang w:val="uk-UA"/>
        </w:rPr>
        <w:t xml:space="preserve"> </w:t>
      </w:r>
      <w:r w:rsidRPr="0014576F">
        <w:rPr>
          <w:sz w:val="28"/>
          <w:szCs w:val="28"/>
          <w:lang w:val="uk-UA"/>
        </w:rPr>
        <w:t>жир</w:t>
      </w:r>
      <w:r w:rsidRPr="00777CA0">
        <w:rPr>
          <w:sz w:val="28"/>
          <w:szCs w:val="28"/>
          <w:lang w:val="uk-UA"/>
        </w:rPr>
        <w:t>і</w:t>
      </w:r>
      <w:r w:rsidRPr="0014576F">
        <w:rPr>
          <w:sz w:val="28"/>
          <w:szCs w:val="28"/>
          <w:lang w:val="uk-UA"/>
        </w:rPr>
        <w:t xml:space="preserve">в </w:t>
      </w:r>
      <w:r w:rsidRPr="00777CA0">
        <w:rPr>
          <w:sz w:val="28"/>
          <w:szCs w:val="28"/>
          <w:lang w:val="uk-UA"/>
        </w:rPr>
        <w:t>/За ред. Ф.Ф. Гладкого.</w:t>
      </w:r>
      <w:r w:rsidRPr="0014576F">
        <w:rPr>
          <w:sz w:val="28"/>
          <w:szCs w:val="28"/>
          <w:lang w:val="uk-UA"/>
        </w:rPr>
        <w:t xml:space="preserve"> – </w:t>
      </w:r>
      <w:r w:rsidRPr="00777CA0">
        <w:rPr>
          <w:sz w:val="28"/>
          <w:szCs w:val="28"/>
          <w:lang w:val="uk-UA"/>
        </w:rPr>
        <w:t>Харків: НТУ «ХПІ»</w:t>
      </w:r>
      <w:r>
        <w:rPr>
          <w:sz w:val="28"/>
          <w:szCs w:val="28"/>
          <w:lang w:val="uk-UA"/>
        </w:rPr>
        <w:t>,</w:t>
      </w:r>
      <w:r w:rsidRPr="00777CA0">
        <w:rPr>
          <w:sz w:val="28"/>
          <w:szCs w:val="28"/>
          <w:lang w:val="uk-UA"/>
        </w:rPr>
        <w:t>200</w:t>
      </w:r>
      <w:r>
        <w:rPr>
          <w:sz w:val="28"/>
          <w:szCs w:val="28"/>
          <w:lang w:val="uk-UA"/>
        </w:rPr>
        <w:t>2.-</w:t>
      </w:r>
      <w:r w:rsidRPr="0014576F">
        <w:rPr>
          <w:sz w:val="28"/>
          <w:szCs w:val="28"/>
          <w:lang w:val="uk-UA"/>
        </w:rPr>
        <w:t>4</w:t>
      </w:r>
      <w:r w:rsidRPr="00777CA0">
        <w:rPr>
          <w:sz w:val="28"/>
          <w:szCs w:val="28"/>
          <w:lang w:val="uk-UA"/>
        </w:rPr>
        <w:t>52</w:t>
      </w:r>
      <w:r w:rsidRPr="0014576F">
        <w:rPr>
          <w:sz w:val="28"/>
          <w:szCs w:val="28"/>
          <w:lang w:val="uk-UA"/>
        </w:rPr>
        <w:t>с.</w:t>
      </w:r>
    </w:p>
    <w:p w:rsidR="00D15BB4" w:rsidRPr="007250EF" w:rsidRDefault="00D15BB4">
      <w:pPr>
        <w:rPr>
          <w:lang w:val="uk-UA"/>
        </w:rPr>
      </w:pPr>
    </w:p>
    <w:sectPr w:rsidR="00D15BB4" w:rsidRPr="007250EF" w:rsidSect="00D15BB4">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compat/>
  <w:rsids>
    <w:rsidRoot w:val="007250EF"/>
    <w:rsid w:val="0007502A"/>
    <w:rsid w:val="00164619"/>
    <w:rsid w:val="0039241C"/>
    <w:rsid w:val="007250EF"/>
    <w:rsid w:val="00BF7752"/>
    <w:rsid w:val="00D15BB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0EF"/>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250EF"/>
    <w:rPr>
      <w:rFonts w:ascii="Tahoma" w:hAnsi="Tahoma" w:cs="Tahoma"/>
      <w:sz w:val="16"/>
      <w:szCs w:val="16"/>
    </w:rPr>
  </w:style>
  <w:style w:type="character" w:customStyle="1" w:styleId="a4">
    <w:name w:val="Текст выноски Знак"/>
    <w:basedOn w:val="a0"/>
    <w:link w:val="a3"/>
    <w:uiPriority w:val="99"/>
    <w:semiHidden/>
    <w:rsid w:val="007250EF"/>
    <w:rPr>
      <w:rFonts w:ascii="Tahoma" w:eastAsia="Times New Roman" w:hAnsi="Tahoma" w:cs="Tahoma"/>
      <w:sz w:val="16"/>
      <w:szCs w:val="16"/>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uk-UA"/>
  <c:chart>
    <c:title>
      <c:tx>
        <c:rich>
          <a:bodyPr/>
          <a:lstStyle/>
          <a:p>
            <a:pPr>
              <a:defRPr/>
            </a:pPr>
            <a:r>
              <a:rPr lang="ru-RU" sz="1394">
                <a:latin typeface="Times New Roman" pitchFamily="18" charset="0"/>
                <a:cs typeface="Times New Roman" pitchFamily="18" charset="0"/>
              </a:rPr>
              <a:t>Соняшникова олія+магнетит</a:t>
            </a:r>
          </a:p>
        </c:rich>
      </c:tx>
    </c:title>
    <c:plotArea>
      <c:layout>
        <c:manualLayout>
          <c:layoutTarget val="inner"/>
          <c:xMode val="edge"/>
          <c:yMode val="edge"/>
          <c:x val="0.19672840716974491"/>
          <c:y val="0.16754984574296808"/>
          <c:w val="0.65027577282006754"/>
          <c:h val="0.59077762161708935"/>
        </c:manualLayout>
      </c:layout>
      <c:lineChart>
        <c:grouping val="standard"/>
        <c:ser>
          <c:idx val="0"/>
          <c:order val="0"/>
          <c:tx>
            <c:strRef>
              <c:f>Лист1!$B$1</c:f>
              <c:strCache>
                <c:ptCount val="1"/>
                <c:pt idx="0">
                  <c:v>Соняшникова олія+магнетит</c:v>
                </c:pt>
              </c:strCache>
            </c:strRef>
          </c:tx>
          <c:cat>
            <c:numRef>
              <c:f>Лист1!$A$2:$A$11</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Лист1!$B$2:$B$11</c:f>
              <c:numCache>
                <c:formatCode>General</c:formatCode>
                <c:ptCount val="10"/>
                <c:pt idx="0">
                  <c:v>1.27</c:v>
                </c:pt>
                <c:pt idx="1">
                  <c:v>1.22</c:v>
                </c:pt>
                <c:pt idx="2">
                  <c:v>1.1800000000000004</c:v>
                </c:pt>
                <c:pt idx="3">
                  <c:v>1.1299999999999994</c:v>
                </c:pt>
                <c:pt idx="4">
                  <c:v>1.1200000000000001</c:v>
                </c:pt>
                <c:pt idx="5">
                  <c:v>1.0900000000000001</c:v>
                </c:pt>
                <c:pt idx="6">
                  <c:v>1.056</c:v>
                </c:pt>
                <c:pt idx="7">
                  <c:v>1.0049999999999994</c:v>
                </c:pt>
                <c:pt idx="8">
                  <c:v>0.999</c:v>
                </c:pt>
                <c:pt idx="9">
                  <c:v>0.95000000000000018</c:v>
                </c:pt>
              </c:numCache>
            </c:numRef>
          </c:val>
        </c:ser>
        <c:marker val="1"/>
        <c:axId val="65922560"/>
        <c:axId val="65924480"/>
      </c:lineChart>
      <c:catAx>
        <c:axId val="65922560"/>
        <c:scaling>
          <c:orientation val="minMax"/>
        </c:scaling>
        <c:axPos val="b"/>
        <c:title>
          <c:tx>
            <c:rich>
              <a:bodyPr/>
              <a:lstStyle/>
              <a:p>
                <a:pPr>
                  <a:defRPr sz="1194" b="1" i="0" u="none" strike="noStrike" baseline="0">
                    <a:solidFill>
                      <a:srgbClr val="000000"/>
                    </a:solidFill>
                    <a:latin typeface="Times New Roman"/>
                    <a:ea typeface="Times New Roman"/>
                    <a:cs typeface="Times New Roman"/>
                  </a:defRPr>
                </a:pPr>
                <a:r>
                  <a:rPr lang="uk-UA"/>
                  <a:t>Кількість термоциклів</a:t>
                </a:r>
              </a:p>
            </c:rich>
          </c:tx>
        </c:title>
        <c:numFmt formatCode="General" sourceLinked="1"/>
        <c:tickLblPos val="nextTo"/>
        <c:crossAx val="65924480"/>
        <c:crosses val="autoZero"/>
        <c:auto val="1"/>
        <c:lblAlgn val="ctr"/>
        <c:lblOffset val="100"/>
      </c:catAx>
      <c:valAx>
        <c:axId val="65924480"/>
        <c:scaling>
          <c:orientation val="minMax"/>
        </c:scaling>
        <c:axPos val="l"/>
        <c:majorGridlines/>
        <c:title>
          <c:tx>
            <c:rich>
              <a:bodyPr/>
              <a:lstStyle/>
              <a:p>
                <a:pPr>
                  <a:defRPr sz="1194" b="1" i="0" u="none" strike="noStrike" baseline="0">
                    <a:solidFill>
                      <a:srgbClr val="000000"/>
                    </a:solidFill>
                    <a:latin typeface="Times New Roman"/>
                    <a:ea typeface="Times New Roman"/>
                    <a:cs typeface="Times New Roman"/>
                  </a:defRPr>
                </a:pPr>
                <a:r>
                  <a:rPr lang="uk-UA"/>
                  <a:t>Значення кислотного числа, мг КОН/г  </a:t>
                </a:r>
              </a:p>
            </c:rich>
          </c:tx>
          <c:layout>
            <c:manualLayout>
              <c:xMode val="edge"/>
              <c:yMode val="edge"/>
              <c:x val="4.2482092082239735E-2"/>
              <c:y val="0.138251312335958"/>
            </c:manualLayout>
          </c:layout>
        </c:title>
        <c:numFmt formatCode="General" sourceLinked="1"/>
        <c:tickLblPos val="nextTo"/>
        <c:crossAx val="65922560"/>
        <c:crosses val="autoZero"/>
        <c:crossBetween val="between"/>
      </c:valAx>
    </c:plotArea>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2257</Words>
  <Characters>1287</Characters>
  <Application>Microsoft Office Word</Application>
  <DocSecurity>0</DocSecurity>
  <Lines>10</Lines>
  <Paragraphs>7</Paragraphs>
  <ScaleCrop>false</ScaleCrop>
  <Company/>
  <LinksUpToDate>false</LinksUpToDate>
  <CharactersWithSpaces>3537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bibl18</dc:creator>
  <cp:lastModifiedBy>bibl18</cp:lastModifiedBy>
  <cp:revision>1</cp:revision>
  <dcterms:created xsi:type="dcterms:W3CDTF">2015-06-12T06:49:00Z</dcterms:created>
  <dcterms:modified xsi:type="dcterms:W3CDTF">2015-06-12T06:49:00Z</dcterms:modified>
</cp:coreProperties>
</file>