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7E" w:rsidRDefault="0073487E" w:rsidP="0073487E">
      <w:pPr>
        <w:pStyle w:val="1"/>
        <w:jc w:val="left"/>
        <w:rPr>
          <w:lang w:val="uk-UA"/>
        </w:rPr>
      </w:pPr>
      <w:bookmarkStart w:id="0" w:name="_Toc415151869"/>
      <w:proofErr w:type="spellStart"/>
      <w:r>
        <w:rPr>
          <w:lang w:val="uk-UA"/>
        </w:rPr>
        <w:t>Сухінін</w:t>
      </w:r>
      <w:proofErr w:type="spellEnd"/>
      <w:r>
        <w:rPr>
          <w:lang w:val="uk-UA"/>
        </w:rPr>
        <w:t xml:space="preserve"> В.П., </w:t>
      </w:r>
      <w:proofErr w:type="spellStart"/>
      <w:r>
        <w:rPr>
          <w:lang w:val="uk-UA"/>
        </w:rPr>
        <w:t>Фурсова</w:t>
      </w:r>
      <w:proofErr w:type="spellEnd"/>
      <w:r>
        <w:rPr>
          <w:lang w:val="uk-UA"/>
        </w:rPr>
        <w:t xml:space="preserve"> Т.М.</w:t>
      </w:r>
      <w:r>
        <w:rPr>
          <w:lang w:val="uk-UA"/>
        </w:rPr>
        <w:br/>
        <w:t>ДО ОЦІНКИ ТЕРМІНУ СЛУЖБИ ПАРОВИХ ТУРБІН</w:t>
      </w:r>
      <w:bookmarkEnd w:id="0"/>
    </w:p>
    <w:p w:rsidR="0073487E" w:rsidRDefault="0073487E" w:rsidP="0073487E">
      <w:pPr>
        <w:pStyle w:val="a3"/>
        <w:ind w:firstLine="709"/>
        <w:jc w:val="left"/>
        <w:rPr>
          <w:szCs w:val="28"/>
          <w:lang w:val="uk-UA"/>
        </w:rPr>
      </w:pPr>
    </w:p>
    <w:p w:rsidR="0073487E" w:rsidRDefault="0073487E" w:rsidP="0073487E">
      <w:pPr>
        <w:pStyle w:val="a3"/>
        <w:ind w:firstLine="709"/>
        <w:rPr>
          <w:sz w:val="26"/>
          <w:szCs w:val="28"/>
        </w:rPr>
      </w:pPr>
      <w:r>
        <w:rPr>
          <w:sz w:val="26"/>
          <w:szCs w:val="28"/>
          <w:lang w:val="uk-UA"/>
        </w:rPr>
        <w:t>Енергетика України базується, головним чином, на енергоблоках з паровими турб</w:t>
      </w:r>
      <w:r>
        <w:rPr>
          <w:sz w:val="26"/>
          <w:szCs w:val="28"/>
          <w:lang w:val="uk-UA"/>
        </w:rPr>
        <w:t>і</w:t>
      </w:r>
      <w:r>
        <w:rPr>
          <w:sz w:val="26"/>
          <w:szCs w:val="28"/>
          <w:lang w:val="uk-UA"/>
        </w:rPr>
        <w:t>нами одиничної потужності 200 і 300 МВт, значна частина яких відпрацювала розрахунк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 xml:space="preserve">вий і подовжений ресурси. </w:t>
      </w:r>
      <w:r>
        <w:rPr>
          <w:sz w:val="26"/>
          <w:szCs w:val="28"/>
          <w:lang w:val="uk-UA" w:eastAsia="uk-UA"/>
        </w:rPr>
        <w:t>Турбіни, що вводились в експлуатацію з кінця 50-х до початку 90-х років ХХ століття, розраховувались на ресурс служби 100 т</w:t>
      </w:r>
      <w:r>
        <w:rPr>
          <w:sz w:val="26"/>
          <w:szCs w:val="28"/>
          <w:lang w:val="uk-UA" w:eastAsia="uk-UA"/>
        </w:rPr>
        <w:t>и</w:t>
      </w:r>
      <w:r>
        <w:rPr>
          <w:sz w:val="26"/>
          <w:szCs w:val="28"/>
          <w:lang w:val="uk-UA" w:eastAsia="uk-UA"/>
        </w:rPr>
        <w:t>сяч годин. На практиці виявилось, що індивідуальний ресурс багатьох турбін перевищив розрахунковий, і напр</w:t>
      </w:r>
      <w:r>
        <w:rPr>
          <w:sz w:val="26"/>
          <w:szCs w:val="28"/>
          <w:lang w:val="uk-UA" w:eastAsia="uk-UA"/>
        </w:rPr>
        <w:t>а</w:t>
      </w:r>
      <w:r>
        <w:rPr>
          <w:sz w:val="26"/>
          <w:szCs w:val="28"/>
          <w:lang w:val="uk-UA" w:eastAsia="uk-UA"/>
        </w:rPr>
        <w:t>цювання значної частини з них складає 170 – 230 тисяч годин. Цю обставину не слід розц</w:t>
      </w:r>
      <w:r>
        <w:rPr>
          <w:sz w:val="26"/>
          <w:szCs w:val="28"/>
          <w:lang w:val="uk-UA" w:eastAsia="uk-UA"/>
        </w:rPr>
        <w:t>і</w:t>
      </w:r>
      <w:r>
        <w:rPr>
          <w:sz w:val="26"/>
          <w:szCs w:val="28"/>
          <w:lang w:val="uk-UA" w:eastAsia="uk-UA"/>
        </w:rPr>
        <w:t>нювати, як результат зайвих запасів міцності, свідомо закладених у конструкцію. Це може бути пояснено таким чином:</w:t>
      </w:r>
    </w:p>
    <w:p w:rsidR="0073487E" w:rsidRDefault="0073487E" w:rsidP="0073487E">
      <w:pPr>
        <w:pStyle w:val="a3"/>
        <w:numPr>
          <w:ilvl w:val="0"/>
          <w:numId w:val="2"/>
        </w:numPr>
        <w:ind w:left="0" w:firstLine="709"/>
        <w:rPr>
          <w:sz w:val="26"/>
          <w:szCs w:val="28"/>
        </w:rPr>
      </w:pPr>
      <w:proofErr w:type="spellStart"/>
      <w:r>
        <w:rPr>
          <w:sz w:val="26"/>
          <w:szCs w:val="28"/>
        </w:rPr>
        <w:t>Дія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високих</w:t>
      </w:r>
      <w:proofErr w:type="spellEnd"/>
      <w:r>
        <w:rPr>
          <w:sz w:val="26"/>
          <w:szCs w:val="28"/>
        </w:rPr>
        <w:t xml:space="preserve"> температур </w:t>
      </w:r>
      <w:proofErr w:type="spellStart"/>
      <w:proofErr w:type="gramStart"/>
      <w:r>
        <w:rPr>
          <w:sz w:val="26"/>
          <w:szCs w:val="28"/>
        </w:rPr>
        <w:t>св</w:t>
      </w:r>
      <w:proofErr w:type="gramEnd"/>
      <w:r>
        <w:rPr>
          <w:sz w:val="26"/>
          <w:szCs w:val="28"/>
        </w:rPr>
        <w:t>іжої</w:t>
      </w:r>
      <w:proofErr w:type="spellEnd"/>
      <w:r>
        <w:rPr>
          <w:sz w:val="26"/>
          <w:szCs w:val="28"/>
        </w:rPr>
        <w:t xml:space="preserve"> пари </w:t>
      </w:r>
      <w:r>
        <w:rPr>
          <w:sz w:val="26"/>
          <w:szCs w:val="28"/>
          <w:lang w:val="uk-UA"/>
        </w:rPr>
        <w:t>та</w:t>
      </w:r>
      <w:r>
        <w:rPr>
          <w:sz w:val="26"/>
          <w:szCs w:val="28"/>
        </w:rPr>
        <w:t xml:space="preserve"> пари </w:t>
      </w:r>
      <w:proofErr w:type="spellStart"/>
      <w:r>
        <w:rPr>
          <w:sz w:val="26"/>
          <w:szCs w:val="28"/>
        </w:rPr>
        <w:t>промперегр</w:t>
      </w:r>
      <w:proofErr w:type="spellEnd"/>
      <w:r>
        <w:rPr>
          <w:sz w:val="26"/>
          <w:szCs w:val="28"/>
          <w:lang w:val="uk-UA"/>
        </w:rPr>
        <w:t>і</w:t>
      </w:r>
      <w:r>
        <w:rPr>
          <w:sz w:val="26"/>
          <w:szCs w:val="28"/>
        </w:rPr>
        <w:t>в</w:t>
      </w:r>
      <w:r>
        <w:rPr>
          <w:sz w:val="26"/>
          <w:szCs w:val="28"/>
          <w:lang w:val="uk-UA"/>
        </w:rPr>
        <w:t>у</w:t>
      </w:r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необхідних</w:t>
      </w:r>
      <w:proofErr w:type="spellEnd"/>
      <w:r>
        <w:rPr>
          <w:sz w:val="26"/>
          <w:szCs w:val="28"/>
        </w:rPr>
        <w:t xml:space="preserve"> для </w:t>
      </w:r>
      <w:proofErr w:type="spellStart"/>
      <w:r>
        <w:rPr>
          <w:sz w:val="26"/>
          <w:szCs w:val="28"/>
        </w:rPr>
        <w:t>д</w:t>
      </w:r>
      <w:r>
        <w:rPr>
          <w:sz w:val="26"/>
          <w:szCs w:val="28"/>
        </w:rPr>
        <w:t>о</w:t>
      </w:r>
      <w:r>
        <w:rPr>
          <w:sz w:val="26"/>
          <w:szCs w:val="28"/>
        </w:rPr>
        <w:t>сягнення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високої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економічності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завдяки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вживаним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жароміцним</w:t>
      </w:r>
      <w:proofErr w:type="spellEnd"/>
      <w:r>
        <w:rPr>
          <w:sz w:val="26"/>
          <w:szCs w:val="28"/>
        </w:rPr>
        <w:t xml:space="preserve"> сталям </w:t>
      </w:r>
      <w:proofErr w:type="spellStart"/>
      <w:r>
        <w:rPr>
          <w:sz w:val="26"/>
          <w:szCs w:val="28"/>
        </w:rPr>
        <w:t>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раціональним</w:t>
      </w:r>
      <w:proofErr w:type="spellEnd"/>
      <w:r>
        <w:rPr>
          <w:sz w:val="26"/>
          <w:szCs w:val="28"/>
        </w:rPr>
        <w:t xml:space="preserve"> формам </w:t>
      </w:r>
      <w:proofErr w:type="spellStart"/>
      <w:r>
        <w:rPr>
          <w:sz w:val="26"/>
          <w:szCs w:val="28"/>
        </w:rPr>
        <w:t>конструктивних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елементів</w:t>
      </w:r>
      <w:proofErr w:type="spellEnd"/>
      <w:r>
        <w:rPr>
          <w:sz w:val="26"/>
          <w:szCs w:val="28"/>
        </w:rPr>
        <w:t xml:space="preserve">, </w:t>
      </w:r>
      <w:r>
        <w:rPr>
          <w:sz w:val="26"/>
          <w:szCs w:val="28"/>
          <w:lang w:val="uk-UA"/>
        </w:rPr>
        <w:t>виявилась</w:t>
      </w:r>
      <w:r>
        <w:rPr>
          <w:sz w:val="26"/>
          <w:szCs w:val="28"/>
        </w:rPr>
        <w:t xml:space="preserve"> в </w:t>
      </w:r>
      <w:proofErr w:type="spellStart"/>
      <w:r>
        <w:rPr>
          <w:sz w:val="26"/>
          <w:szCs w:val="28"/>
        </w:rPr>
        <w:t>якійсь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мірі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згладж</w:t>
      </w:r>
      <w:r>
        <w:rPr>
          <w:sz w:val="26"/>
          <w:szCs w:val="28"/>
        </w:rPr>
        <w:t>е</w:t>
      </w:r>
      <w:r>
        <w:rPr>
          <w:sz w:val="26"/>
          <w:szCs w:val="28"/>
        </w:rPr>
        <w:t>но</w:t>
      </w:r>
      <w:proofErr w:type="spellEnd"/>
      <w:r>
        <w:rPr>
          <w:sz w:val="26"/>
          <w:szCs w:val="28"/>
          <w:lang w:val="uk-UA"/>
        </w:rPr>
        <w:t>ю</w:t>
      </w:r>
      <w:r>
        <w:rPr>
          <w:sz w:val="26"/>
          <w:szCs w:val="28"/>
        </w:rPr>
        <w:t>.</w:t>
      </w:r>
    </w:p>
    <w:p w:rsidR="0073487E" w:rsidRDefault="0073487E" w:rsidP="0073487E">
      <w:pPr>
        <w:numPr>
          <w:ilvl w:val="0"/>
          <w:numId w:val="2"/>
        </w:numPr>
        <w:ind w:left="0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При</w:t>
      </w:r>
      <w:proofErr w:type="gramEnd"/>
      <w:r>
        <w:rPr>
          <w:sz w:val="26"/>
          <w:szCs w:val="28"/>
        </w:rPr>
        <w:t xml:space="preserve"> </w:t>
      </w:r>
      <w:proofErr w:type="spellStart"/>
      <w:proofErr w:type="gramStart"/>
      <w:r>
        <w:rPr>
          <w:sz w:val="26"/>
          <w:szCs w:val="28"/>
        </w:rPr>
        <w:t>переход</w:t>
      </w:r>
      <w:proofErr w:type="gramEnd"/>
      <w:r>
        <w:rPr>
          <w:sz w:val="26"/>
          <w:szCs w:val="28"/>
        </w:rPr>
        <w:t>і</w:t>
      </w:r>
      <w:proofErr w:type="spellEnd"/>
      <w:r>
        <w:rPr>
          <w:sz w:val="26"/>
          <w:szCs w:val="28"/>
        </w:rPr>
        <w:t xml:space="preserve"> на </w:t>
      </w:r>
      <w:proofErr w:type="spellStart"/>
      <w:r>
        <w:rPr>
          <w:sz w:val="26"/>
          <w:szCs w:val="28"/>
        </w:rPr>
        <w:t>критичні</w:t>
      </w:r>
      <w:proofErr w:type="spellEnd"/>
      <w:r>
        <w:rPr>
          <w:sz w:val="26"/>
          <w:szCs w:val="28"/>
        </w:rPr>
        <w:t xml:space="preserve"> та </w:t>
      </w:r>
      <w:proofErr w:type="spellStart"/>
      <w:r>
        <w:rPr>
          <w:sz w:val="26"/>
          <w:szCs w:val="28"/>
        </w:rPr>
        <w:t>надкритичні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параметри</w:t>
      </w:r>
      <w:proofErr w:type="spellEnd"/>
      <w:r>
        <w:rPr>
          <w:sz w:val="26"/>
          <w:szCs w:val="28"/>
        </w:rPr>
        <w:t xml:space="preserve"> пари при </w:t>
      </w:r>
      <w:proofErr w:type="spellStart"/>
      <w:r>
        <w:rPr>
          <w:sz w:val="26"/>
          <w:szCs w:val="28"/>
        </w:rPr>
        <w:t>оцінці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тривалих</w:t>
      </w:r>
      <w:proofErr w:type="spellEnd"/>
      <w:r>
        <w:rPr>
          <w:sz w:val="26"/>
          <w:szCs w:val="28"/>
        </w:rPr>
        <w:t xml:space="preserve"> характеристик (межа </w:t>
      </w:r>
      <w:proofErr w:type="spellStart"/>
      <w:r>
        <w:rPr>
          <w:sz w:val="26"/>
          <w:szCs w:val="28"/>
        </w:rPr>
        <w:t>тривалої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міцності</w:t>
      </w:r>
      <w:proofErr w:type="spellEnd"/>
      <w:r>
        <w:rPr>
          <w:sz w:val="26"/>
          <w:szCs w:val="28"/>
        </w:rPr>
        <w:t xml:space="preserve">, межа </w:t>
      </w:r>
      <w:proofErr w:type="spellStart"/>
      <w:r>
        <w:rPr>
          <w:sz w:val="26"/>
          <w:szCs w:val="28"/>
        </w:rPr>
        <w:t>повзучості</w:t>
      </w:r>
      <w:proofErr w:type="spellEnd"/>
      <w:r>
        <w:rPr>
          <w:sz w:val="26"/>
          <w:szCs w:val="28"/>
        </w:rPr>
        <w:t xml:space="preserve">) </w:t>
      </w:r>
      <w:proofErr w:type="spellStart"/>
      <w:r>
        <w:rPr>
          <w:sz w:val="26"/>
          <w:szCs w:val="28"/>
        </w:rPr>
        <w:t>була</w:t>
      </w:r>
      <w:proofErr w:type="spellEnd"/>
      <w:r>
        <w:rPr>
          <w:sz w:val="26"/>
          <w:szCs w:val="28"/>
        </w:rPr>
        <w:t xml:space="preserve"> проявлена </w:t>
      </w:r>
      <w:proofErr w:type="spellStart"/>
      <w:r>
        <w:rPr>
          <w:sz w:val="26"/>
          <w:szCs w:val="28"/>
        </w:rPr>
        <w:t>відома</w:t>
      </w:r>
      <w:proofErr w:type="spellEnd"/>
      <w:r>
        <w:rPr>
          <w:sz w:val="26"/>
          <w:szCs w:val="28"/>
        </w:rPr>
        <w:t xml:space="preserve"> перестр</w:t>
      </w:r>
      <w:r>
        <w:rPr>
          <w:sz w:val="26"/>
          <w:szCs w:val="28"/>
        </w:rPr>
        <w:t>а</w:t>
      </w:r>
      <w:r>
        <w:rPr>
          <w:sz w:val="26"/>
          <w:szCs w:val="28"/>
        </w:rPr>
        <w:t xml:space="preserve">ховка, </w:t>
      </w:r>
      <w:proofErr w:type="spellStart"/>
      <w:r>
        <w:rPr>
          <w:sz w:val="26"/>
          <w:szCs w:val="28"/>
        </w:rPr>
        <w:t>обґрунтована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тим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що</w:t>
      </w:r>
      <w:proofErr w:type="spellEnd"/>
      <w:r>
        <w:rPr>
          <w:sz w:val="26"/>
          <w:szCs w:val="28"/>
        </w:rPr>
        <w:t xml:space="preserve">  </w:t>
      </w:r>
      <w:proofErr w:type="spellStart"/>
      <w:r>
        <w:rPr>
          <w:sz w:val="26"/>
          <w:szCs w:val="28"/>
        </w:rPr>
        <w:t>показники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жароміцності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визначались</w:t>
      </w:r>
      <w:proofErr w:type="spellEnd"/>
      <w:r>
        <w:rPr>
          <w:sz w:val="26"/>
          <w:szCs w:val="28"/>
        </w:rPr>
        <w:t xml:space="preserve"> за </w:t>
      </w:r>
      <w:proofErr w:type="spellStart"/>
      <w:r>
        <w:rPr>
          <w:sz w:val="26"/>
          <w:szCs w:val="28"/>
        </w:rPr>
        <w:t>екстраполяційними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даними</w:t>
      </w:r>
      <w:proofErr w:type="spellEnd"/>
      <w:r>
        <w:rPr>
          <w:sz w:val="26"/>
          <w:szCs w:val="28"/>
        </w:rPr>
        <w:t xml:space="preserve"> на </w:t>
      </w:r>
      <w:proofErr w:type="spellStart"/>
      <w:r>
        <w:rPr>
          <w:sz w:val="26"/>
          <w:szCs w:val="28"/>
        </w:rPr>
        <w:t>недостатній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експериментальній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базі</w:t>
      </w:r>
      <w:proofErr w:type="spellEnd"/>
      <w:r>
        <w:rPr>
          <w:sz w:val="26"/>
          <w:szCs w:val="28"/>
        </w:rPr>
        <w:t>.</w:t>
      </w:r>
    </w:p>
    <w:p w:rsidR="0073487E" w:rsidRDefault="0073487E" w:rsidP="0073487E">
      <w:pPr>
        <w:pStyle w:val="a3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 xml:space="preserve">Відновлення потенціалу електростанцій шляхом заміни зношеного обладнання на нове, потребує значних матеріальних витрат і часу. </w:t>
      </w:r>
      <w:proofErr w:type="spellStart"/>
      <w:r>
        <w:rPr>
          <w:sz w:val="26"/>
          <w:szCs w:val="28"/>
          <w:lang w:val="uk-UA"/>
        </w:rPr>
        <w:t>Альтертернативним</w:t>
      </w:r>
      <w:proofErr w:type="spellEnd"/>
      <w:r>
        <w:rPr>
          <w:sz w:val="26"/>
          <w:szCs w:val="28"/>
          <w:lang w:val="uk-UA"/>
        </w:rPr>
        <w:t xml:space="preserve"> рішенням є под</w:t>
      </w:r>
      <w:r>
        <w:rPr>
          <w:sz w:val="26"/>
          <w:szCs w:val="28"/>
          <w:lang w:val="uk-UA"/>
        </w:rPr>
        <w:t>о</w:t>
      </w:r>
      <w:r>
        <w:rPr>
          <w:sz w:val="26"/>
          <w:szCs w:val="28"/>
          <w:lang w:val="uk-UA"/>
        </w:rPr>
        <w:t>вження ресурсу служби існуючого обладнання на основі глибокого аналізу його стану і, при необхідності, часткової заміни елементів, подальша робота яких не гарантована без пошкоджень.</w:t>
      </w:r>
    </w:p>
    <w:p w:rsidR="0073487E" w:rsidRDefault="0073487E" w:rsidP="0073487E">
      <w:pPr>
        <w:ind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Повна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оцінка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терміну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служби</w:t>
      </w:r>
      <w:proofErr w:type="spellEnd"/>
      <w:r>
        <w:rPr>
          <w:sz w:val="26"/>
          <w:szCs w:val="28"/>
        </w:rPr>
        <w:t xml:space="preserve"> при </w:t>
      </w:r>
      <w:proofErr w:type="spellStart"/>
      <w:r>
        <w:rPr>
          <w:sz w:val="26"/>
          <w:szCs w:val="28"/>
        </w:rPr>
        <w:t>продовженні</w:t>
      </w:r>
      <w:proofErr w:type="spellEnd"/>
      <w:r>
        <w:rPr>
          <w:sz w:val="26"/>
          <w:szCs w:val="28"/>
        </w:rPr>
        <w:t xml:space="preserve"> ресурсу </w:t>
      </w:r>
      <w:proofErr w:type="spellStart"/>
      <w:r>
        <w:rPr>
          <w:sz w:val="26"/>
          <w:szCs w:val="28"/>
        </w:rPr>
        <w:t>включає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аналіз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наступної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інформації</w:t>
      </w:r>
      <w:proofErr w:type="spellEnd"/>
      <w:r>
        <w:rPr>
          <w:sz w:val="26"/>
          <w:szCs w:val="28"/>
        </w:rPr>
        <w:t>: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історія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експлуатації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деталі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перев</w:t>
      </w:r>
      <w:proofErr w:type="gramEnd"/>
      <w:r>
        <w:rPr>
          <w:sz w:val="26"/>
          <w:szCs w:val="28"/>
        </w:rPr>
        <w:t>ірка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деталі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досвід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експлуатації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розрахунковий</w:t>
      </w:r>
      <w:proofErr w:type="spellEnd"/>
      <w:r>
        <w:rPr>
          <w:sz w:val="26"/>
          <w:szCs w:val="28"/>
        </w:rPr>
        <w:t xml:space="preserve"> (</w:t>
      </w:r>
      <w:proofErr w:type="spellStart"/>
      <w:r>
        <w:rPr>
          <w:sz w:val="26"/>
          <w:szCs w:val="28"/>
        </w:rPr>
        <w:t>проектний</w:t>
      </w:r>
      <w:proofErr w:type="spellEnd"/>
      <w:r>
        <w:rPr>
          <w:sz w:val="26"/>
          <w:szCs w:val="28"/>
        </w:rPr>
        <w:t xml:space="preserve">) </w:t>
      </w:r>
      <w:proofErr w:type="spellStart"/>
      <w:r>
        <w:rPr>
          <w:sz w:val="26"/>
          <w:szCs w:val="28"/>
        </w:rPr>
        <w:t>термін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служби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тривала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поведінка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матеріалу</w:t>
      </w:r>
      <w:proofErr w:type="spellEnd"/>
      <w:r>
        <w:rPr>
          <w:sz w:val="26"/>
          <w:szCs w:val="28"/>
        </w:rPr>
        <w:t>.</w:t>
      </w:r>
    </w:p>
    <w:p w:rsidR="0073487E" w:rsidRDefault="0073487E" w:rsidP="0073487E">
      <w:pPr>
        <w:pStyle w:val="a3"/>
        <w:ind w:firstLine="709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На результат дослідження терміну служби роблять вплив умови, які можуть мінят</w:t>
      </w:r>
      <w:r>
        <w:rPr>
          <w:sz w:val="26"/>
          <w:szCs w:val="28"/>
          <w:lang w:val="uk-UA"/>
        </w:rPr>
        <w:t>и</w:t>
      </w:r>
      <w:r>
        <w:rPr>
          <w:sz w:val="26"/>
          <w:szCs w:val="28"/>
          <w:lang w:val="uk-UA"/>
        </w:rPr>
        <w:t>ся під час експлуатації парової турбіни і не можуть бути повною мірою враховані при ро</w:t>
      </w:r>
      <w:r>
        <w:rPr>
          <w:sz w:val="26"/>
          <w:szCs w:val="28"/>
          <w:lang w:val="uk-UA"/>
        </w:rPr>
        <w:t>з</w:t>
      </w:r>
      <w:r>
        <w:rPr>
          <w:sz w:val="26"/>
          <w:szCs w:val="28"/>
          <w:lang w:val="uk-UA"/>
        </w:rPr>
        <w:t>рахунковому (проектному) визначенні терміну служби: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режими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роботи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турбіни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що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ві</w:t>
      </w:r>
      <w:proofErr w:type="gramStart"/>
      <w:r>
        <w:rPr>
          <w:sz w:val="26"/>
          <w:szCs w:val="28"/>
        </w:rPr>
        <w:t>др</w:t>
      </w:r>
      <w:proofErr w:type="gramEnd"/>
      <w:r>
        <w:rPr>
          <w:sz w:val="26"/>
          <w:szCs w:val="28"/>
        </w:rPr>
        <w:t>ізняються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від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номінального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нерівном</w:t>
      </w:r>
      <w:proofErr w:type="gramEnd"/>
      <w:r>
        <w:rPr>
          <w:sz w:val="26"/>
          <w:szCs w:val="28"/>
        </w:rPr>
        <w:t>ірність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розподілу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напруг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зміна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тривалих</w:t>
      </w:r>
      <w:proofErr w:type="spellEnd"/>
      <w:r>
        <w:rPr>
          <w:sz w:val="26"/>
          <w:szCs w:val="28"/>
        </w:rPr>
        <w:t xml:space="preserve">  характеристик </w:t>
      </w:r>
      <w:proofErr w:type="spellStart"/>
      <w:r>
        <w:rPr>
          <w:sz w:val="26"/>
          <w:szCs w:val="28"/>
        </w:rPr>
        <w:t>матеріалу</w:t>
      </w:r>
      <w:proofErr w:type="spellEnd"/>
      <w:r>
        <w:rPr>
          <w:sz w:val="26"/>
          <w:szCs w:val="28"/>
        </w:rPr>
        <w:t xml:space="preserve"> в </w:t>
      </w:r>
      <w:proofErr w:type="spellStart"/>
      <w:r>
        <w:rPr>
          <w:sz w:val="26"/>
          <w:szCs w:val="28"/>
        </w:rPr>
        <w:t>часі</w:t>
      </w:r>
      <w:proofErr w:type="spellEnd"/>
      <w:r>
        <w:rPr>
          <w:sz w:val="26"/>
          <w:szCs w:val="28"/>
        </w:rPr>
        <w:t>;</w:t>
      </w:r>
      <w:proofErr w:type="gramEnd"/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ефективна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товщина</w:t>
      </w:r>
      <w:proofErr w:type="spellEnd"/>
      <w:r>
        <w:rPr>
          <w:sz w:val="26"/>
          <w:szCs w:val="28"/>
        </w:rPr>
        <w:t xml:space="preserve"> </w:t>
      </w:r>
      <w:proofErr w:type="spellStart"/>
      <w:proofErr w:type="gramStart"/>
      <w:r>
        <w:rPr>
          <w:sz w:val="26"/>
          <w:szCs w:val="28"/>
        </w:rPr>
        <w:t>ст</w:t>
      </w:r>
      <w:proofErr w:type="gramEnd"/>
      <w:r>
        <w:rPr>
          <w:sz w:val="26"/>
          <w:szCs w:val="28"/>
        </w:rPr>
        <w:t>інки</w:t>
      </w:r>
      <w:proofErr w:type="spellEnd"/>
      <w:r>
        <w:rPr>
          <w:sz w:val="26"/>
          <w:szCs w:val="28"/>
        </w:rPr>
        <w:t xml:space="preserve"> (</w:t>
      </w:r>
      <w:proofErr w:type="spellStart"/>
      <w:r>
        <w:rPr>
          <w:sz w:val="26"/>
          <w:szCs w:val="28"/>
        </w:rPr>
        <w:t>з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урахуванням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можливих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стоншувань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від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корозії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окалиноутворення</w:t>
      </w:r>
      <w:proofErr w:type="spellEnd"/>
      <w:r>
        <w:rPr>
          <w:sz w:val="26"/>
          <w:szCs w:val="28"/>
        </w:rPr>
        <w:t>);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граничний</w:t>
      </w:r>
      <w:proofErr w:type="spellEnd"/>
      <w:r>
        <w:rPr>
          <w:sz w:val="26"/>
          <w:szCs w:val="28"/>
        </w:rPr>
        <w:t xml:space="preserve"> час </w:t>
      </w:r>
      <w:proofErr w:type="spellStart"/>
      <w:r>
        <w:rPr>
          <w:sz w:val="26"/>
          <w:szCs w:val="28"/>
        </w:rPr>
        <w:t>експлуатації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понад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розрахунковий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змі</w:t>
      </w:r>
      <w:proofErr w:type="gramStart"/>
      <w:r>
        <w:rPr>
          <w:sz w:val="26"/>
          <w:szCs w:val="28"/>
        </w:rPr>
        <w:t>на</w:t>
      </w:r>
      <w:proofErr w:type="spellEnd"/>
      <w:proofErr w:type="gramEnd"/>
      <w:r>
        <w:rPr>
          <w:sz w:val="26"/>
          <w:szCs w:val="28"/>
        </w:rPr>
        <w:t xml:space="preserve"> характеристик </w:t>
      </w:r>
      <w:proofErr w:type="spellStart"/>
      <w:r>
        <w:rPr>
          <w:sz w:val="26"/>
          <w:szCs w:val="28"/>
        </w:rPr>
        <w:t>матеріалу</w:t>
      </w:r>
      <w:proofErr w:type="spellEnd"/>
      <w:r>
        <w:rPr>
          <w:sz w:val="26"/>
          <w:szCs w:val="28"/>
        </w:rPr>
        <w:t xml:space="preserve"> в </w:t>
      </w:r>
      <w:proofErr w:type="spellStart"/>
      <w:r>
        <w:rPr>
          <w:sz w:val="26"/>
          <w:szCs w:val="28"/>
        </w:rPr>
        <w:t>часі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приховані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дефекти</w:t>
      </w:r>
      <w:proofErr w:type="spellEnd"/>
      <w:r>
        <w:rPr>
          <w:sz w:val="26"/>
          <w:szCs w:val="28"/>
        </w:rPr>
        <w:t>;</w:t>
      </w:r>
    </w:p>
    <w:p w:rsidR="0073487E" w:rsidRDefault="0073487E" w:rsidP="0073487E">
      <w:pPr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залишкова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напруга</w:t>
      </w:r>
      <w:proofErr w:type="spellEnd"/>
      <w:r>
        <w:rPr>
          <w:sz w:val="26"/>
          <w:szCs w:val="28"/>
        </w:rPr>
        <w:t>.</w:t>
      </w:r>
    </w:p>
    <w:p w:rsidR="0073487E" w:rsidRDefault="0073487E" w:rsidP="0073487E">
      <w:pPr>
        <w:pStyle w:val="a3"/>
        <w:ind w:firstLine="709"/>
        <w:jc w:val="center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Література</w:t>
      </w:r>
    </w:p>
    <w:p w:rsidR="0073487E" w:rsidRDefault="0073487E" w:rsidP="0073487E">
      <w:pPr>
        <w:pStyle w:val="a3"/>
        <w:ind w:firstLine="709"/>
        <w:rPr>
          <w:sz w:val="24"/>
          <w:szCs w:val="28"/>
          <w:lang w:val="uk-UA"/>
        </w:rPr>
      </w:pPr>
      <w:proofErr w:type="spellStart"/>
      <w:r>
        <w:rPr>
          <w:sz w:val="24"/>
          <w:szCs w:val="28"/>
          <w:lang w:val="uk-UA"/>
        </w:rPr>
        <w:t>Шубенко</w:t>
      </w:r>
      <w:proofErr w:type="spellEnd"/>
      <w:r>
        <w:rPr>
          <w:sz w:val="24"/>
          <w:szCs w:val="28"/>
          <w:lang w:val="uk-UA"/>
        </w:rPr>
        <w:t xml:space="preserve"> О .Л. Діагностика, надійність, ресурс парових турбін. Монографія. / О. Л. </w:t>
      </w:r>
      <w:proofErr w:type="spellStart"/>
      <w:r>
        <w:rPr>
          <w:sz w:val="24"/>
          <w:szCs w:val="28"/>
          <w:lang w:val="uk-UA"/>
        </w:rPr>
        <w:t>Шубе</w:t>
      </w:r>
      <w:r>
        <w:rPr>
          <w:sz w:val="24"/>
          <w:szCs w:val="28"/>
          <w:lang w:val="uk-UA"/>
        </w:rPr>
        <w:t>н</w:t>
      </w:r>
      <w:r>
        <w:rPr>
          <w:sz w:val="24"/>
          <w:szCs w:val="28"/>
          <w:lang w:val="uk-UA"/>
        </w:rPr>
        <w:t>ко</w:t>
      </w:r>
      <w:proofErr w:type="spellEnd"/>
      <w:r>
        <w:rPr>
          <w:sz w:val="24"/>
          <w:szCs w:val="28"/>
          <w:lang w:val="uk-UA"/>
        </w:rPr>
        <w:t xml:space="preserve">, В. П. </w:t>
      </w:r>
      <w:proofErr w:type="spellStart"/>
      <w:r>
        <w:rPr>
          <w:sz w:val="24"/>
          <w:szCs w:val="28"/>
          <w:lang w:val="uk-UA"/>
        </w:rPr>
        <w:t>Сухінін</w:t>
      </w:r>
      <w:proofErr w:type="spellEnd"/>
      <w:r>
        <w:rPr>
          <w:sz w:val="24"/>
          <w:szCs w:val="28"/>
          <w:lang w:val="uk-UA"/>
        </w:rPr>
        <w:t xml:space="preserve">, Т .М. </w:t>
      </w:r>
      <w:proofErr w:type="spellStart"/>
      <w:r>
        <w:rPr>
          <w:sz w:val="24"/>
          <w:szCs w:val="28"/>
          <w:lang w:val="uk-UA"/>
        </w:rPr>
        <w:t>Фурсова</w:t>
      </w:r>
      <w:proofErr w:type="spellEnd"/>
      <w:r>
        <w:rPr>
          <w:sz w:val="24"/>
          <w:szCs w:val="28"/>
          <w:lang w:val="uk-UA"/>
        </w:rPr>
        <w:t xml:space="preserve"> та ін. – Харків: «Оперативна поліграфія», 2014. – 152 с.</w:t>
      </w:r>
    </w:p>
    <w:p w:rsidR="00D15BB4" w:rsidRPr="0073487E" w:rsidRDefault="00D15BB4">
      <w:pPr>
        <w:rPr>
          <w:lang w:val="uk-UA"/>
        </w:rPr>
      </w:pPr>
    </w:p>
    <w:sectPr w:rsidR="00D15BB4" w:rsidRPr="0073487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DC2"/>
    <w:multiLevelType w:val="singleLevel"/>
    <w:tmpl w:val="5D4CA838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CC556AD"/>
    <w:multiLevelType w:val="singleLevel"/>
    <w:tmpl w:val="CC2A06B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487E"/>
    <w:rsid w:val="0007502A"/>
    <w:rsid w:val="00164619"/>
    <w:rsid w:val="00363ED3"/>
    <w:rsid w:val="0073487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487E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7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Body Text Indent"/>
    <w:basedOn w:val="a"/>
    <w:link w:val="a4"/>
    <w:semiHidden/>
    <w:rsid w:val="0073487E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348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2015-06-10T12:17:00Z</dcterms:created>
  <dcterms:modified xsi:type="dcterms:W3CDTF">2015-06-10T12:17:00Z</dcterms:modified>
</cp:coreProperties>
</file>