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AC" w:rsidRPr="003762AA" w:rsidRDefault="00A758AC" w:rsidP="00A758AC">
      <w:pPr>
        <w:pStyle w:val="a3"/>
        <w:jc w:val="left"/>
      </w:pPr>
      <w:bookmarkStart w:id="0" w:name="_Toc406164670"/>
      <w:bookmarkStart w:id="1" w:name="_Toc372466900"/>
      <w:r>
        <w:t>©</w:t>
      </w:r>
      <w:r w:rsidRPr="003762AA">
        <w:t>Тютюн Р.В.</w:t>
      </w:r>
      <w:r>
        <w:br/>
      </w:r>
      <w:r w:rsidRPr="003762AA">
        <w:t>Аналіз вібрації лопаток відцентрового нагнітача</w:t>
      </w:r>
      <w:bookmarkEnd w:id="0"/>
    </w:p>
    <w:bookmarkEnd w:id="1"/>
    <w:p w:rsidR="00A758AC" w:rsidRPr="003762AA" w:rsidRDefault="00A758AC" w:rsidP="00A758AC">
      <w:pPr>
        <w:pStyle w:val="a5"/>
      </w:pPr>
      <w:r w:rsidRPr="003762AA">
        <w:t xml:space="preserve">Роботу присвячено застосуванню методу демодуляції </w:t>
      </w:r>
      <w:proofErr w:type="spellStart"/>
      <w:r w:rsidRPr="003762AA">
        <w:t>помпажних</w:t>
      </w:r>
      <w:proofErr w:type="spellEnd"/>
      <w:r w:rsidRPr="003762AA">
        <w:t xml:space="preserve"> коливань за допомогою спектрального аналізу </w:t>
      </w:r>
      <w:proofErr w:type="spellStart"/>
      <w:r w:rsidRPr="003762AA">
        <w:t>огинаючої</w:t>
      </w:r>
      <w:proofErr w:type="spellEnd"/>
      <w:r w:rsidRPr="003762AA">
        <w:t xml:space="preserve"> вібрації лопатки для </w:t>
      </w:r>
      <w:r w:rsidRPr="003762AA">
        <w:rPr>
          <w:szCs w:val="20"/>
        </w:rPr>
        <w:t>діагностики техн</w:t>
      </w:r>
      <w:r w:rsidRPr="003762AA">
        <w:rPr>
          <w:szCs w:val="20"/>
        </w:rPr>
        <w:t>і</w:t>
      </w:r>
      <w:r w:rsidRPr="003762AA">
        <w:rPr>
          <w:szCs w:val="20"/>
        </w:rPr>
        <w:t xml:space="preserve">чного стану відцентрового нагнітача, зокрема визначенню його </w:t>
      </w:r>
      <w:proofErr w:type="spellStart"/>
      <w:r w:rsidRPr="003762AA">
        <w:rPr>
          <w:szCs w:val="20"/>
        </w:rPr>
        <w:t>вібростану</w:t>
      </w:r>
      <w:proofErr w:type="spellEnd"/>
      <w:r w:rsidRPr="003762AA">
        <w:rPr>
          <w:szCs w:val="20"/>
        </w:rPr>
        <w:t xml:space="preserve">. </w:t>
      </w:r>
    </w:p>
    <w:p w:rsidR="00A758AC" w:rsidRPr="003762AA" w:rsidRDefault="00A758AC" w:rsidP="00A758AC">
      <w:pPr>
        <w:pStyle w:val="a5"/>
      </w:pPr>
      <w:r w:rsidRPr="003762AA">
        <w:t>Власна частота акустичних коливань газу, що знаходиться в циліндричному об'ємі, визначається відомим виразом:</w:t>
      </w:r>
    </w:p>
    <w:p w:rsidR="00A758AC" w:rsidRPr="003762AA" w:rsidRDefault="00A758AC" w:rsidP="00A758AC">
      <w:pPr>
        <w:tabs>
          <w:tab w:val="right" w:pos="9214"/>
        </w:tabs>
        <w:spacing w:before="120" w:after="120"/>
        <w:ind w:firstLine="709"/>
        <w:jc w:val="right"/>
        <w:rPr>
          <w:sz w:val="28"/>
        </w:rPr>
      </w:pPr>
      <w:r w:rsidRPr="003762AA">
        <w:rPr>
          <w:position w:val="-34"/>
          <w:sz w:val="28"/>
        </w:rPr>
        <w:object w:dxaOrig="234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44.25pt" o:ole="">
            <v:imagedata r:id="rId4" o:title=""/>
          </v:shape>
          <o:OLEObject Type="Embed" ProgID="Equation.2" ShapeID="_x0000_i1025" DrawAspect="Content" ObjectID="_1495359467" r:id="rId5"/>
        </w:object>
      </w:r>
      <w:r w:rsidRPr="003762AA">
        <w:rPr>
          <w:sz w:val="28"/>
        </w:rPr>
        <w:t>,(</w:t>
      </w:r>
      <w:r w:rsidRPr="003762AA">
        <w:rPr>
          <w:sz w:val="28"/>
          <w:lang w:val="uk-UA"/>
        </w:rPr>
        <w:t>1</w:t>
      </w:r>
      <w:r w:rsidRPr="003762AA">
        <w:rPr>
          <w:sz w:val="28"/>
        </w:rPr>
        <w:t>)</w:t>
      </w:r>
    </w:p>
    <w:p w:rsidR="00A758AC" w:rsidRPr="003762AA" w:rsidRDefault="00A758AC" w:rsidP="00A758AC">
      <w:pPr>
        <w:jc w:val="both"/>
        <w:rPr>
          <w:sz w:val="28"/>
          <w:lang w:val="uk-UA"/>
        </w:rPr>
      </w:pPr>
      <w:r w:rsidRPr="003762AA">
        <w:rPr>
          <w:sz w:val="28"/>
        </w:rPr>
        <w:t xml:space="preserve">де </w:t>
      </w:r>
      <w:proofErr w:type="spellStart"/>
      <w:r w:rsidRPr="003762AA">
        <w:rPr>
          <w:i/>
          <w:iCs/>
          <w:sz w:val="28"/>
          <w:lang w:val="en-US"/>
        </w:rPr>
        <w:t>m</w:t>
      </w:r>
      <w:r w:rsidRPr="003762AA">
        <w:rPr>
          <w:i/>
          <w:iCs/>
          <w:sz w:val="28"/>
          <w:vertAlign w:val="subscript"/>
          <w:lang w:val="en-US"/>
        </w:rPr>
        <w:t>r</w:t>
      </w:r>
      <w:proofErr w:type="spellEnd"/>
      <w:r w:rsidRPr="003762AA">
        <w:rPr>
          <w:sz w:val="28"/>
        </w:rPr>
        <w:t xml:space="preserve"> — </w:t>
      </w:r>
      <w:r w:rsidRPr="003762AA">
        <w:rPr>
          <w:sz w:val="28"/>
          <w:lang w:val="uk-UA"/>
        </w:rPr>
        <w:t xml:space="preserve">показник адіабати; </w:t>
      </w:r>
    </w:p>
    <w:p w:rsidR="00A758AC" w:rsidRPr="003762AA" w:rsidRDefault="00A758AC" w:rsidP="00A758AC">
      <w:pPr>
        <w:ind w:firstLine="426"/>
        <w:jc w:val="both"/>
        <w:rPr>
          <w:sz w:val="28"/>
          <w:vertAlign w:val="subscript"/>
          <w:lang w:val="uk-UA"/>
        </w:rPr>
      </w:pPr>
      <w:proofErr w:type="spellStart"/>
      <w:proofErr w:type="gramStart"/>
      <w:r w:rsidRPr="003762AA">
        <w:rPr>
          <w:i/>
          <w:iCs/>
          <w:sz w:val="28"/>
          <w:lang w:val="en-US"/>
        </w:rPr>
        <w:t>R</w:t>
      </w:r>
      <w:r w:rsidRPr="003762AA">
        <w:rPr>
          <w:i/>
          <w:iCs/>
          <w:sz w:val="28"/>
          <w:vertAlign w:val="subscript"/>
          <w:lang w:val="en-US"/>
        </w:rPr>
        <w:t>r</w:t>
      </w:r>
      <w:proofErr w:type="spellEnd"/>
      <w:proofErr w:type="gramEnd"/>
      <w:r w:rsidRPr="003762AA">
        <w:rPr>
          <w:sz w:val="28"/>
        </w:rPr>
        <w:t> —</w:t>
      </w:r>
      <w:r w:rsidRPr="003762AA">
        <w:rPr>
          <w:sz w:val="28"/>
          <w:lang w:val="uk-UA"/>
        </w:rPr>
        <w:t xml:space="preserve">універсальна газова постійна; </w:t>
      </w:r>
    </w:p>
    <w:p w:rsidR="00A758AC" w:rsidRPr="003762AA" w:rsidRDefault="00A758AC" w:rsidP="00A758AC">
      <w:pPr>
        <w:ind w:firstLine="426"/>
        <w:jc w:val="both"/>
        <w:rPr>
          <w:sz w:val="28"/>
          <w:lang w:val="uk-UA"/>
        </w:rPr>
      </w:pPr>
      <w:proofErr w:type="spellStart"/>
      <w:proofErr w:type="gramStart"/>
      <w:r w:rsidRPr="003762AA">
        <w:rPr>
          <w:i/>
          <w:iCs/>
          <w:sz w:val="28"/>
          <w:lang w:val="en-US"/>
        </w:rPr>
        <w:t>T</w:t>
      </w:r>
      <w:r w:rsidRPr="003762AA">
        <w:rPr>
          <w:i/>
          <w:iCs/>
          <w:sz w:val="28"/>
          <w:vertAlign w:val="subscript"/>
          <w:lang w:val="en-US"/>
        </w:rPr>
        <w:t>r</w:t>
      </w:r>
      <w:proofErr w:type="spellEnd"/>
      <w:proofErr w:type="gramEnd"/>
      <w:r w:rsidRPr="003762AA">
        <w:rPr>
          <w:sz w:val="28"/>
        </w:rPr>
        <w:t xml:space="preserve"> — </w:t>
      </w:r>
      <w:r w:rsidRPr="003762AA">
        <w:rPr>
          <w:sz w:val="28"/>
          <w:lang w:val="uk-UA"/>
        </w:rPr>
        <w:t xml:space="preserve">абсолютна температура газу в трубопроводі; </w:t>
      </w:r>
    </w:p>
    <w:p w:rsidR="00A758AC" w:rsidRPr="003762AA" w:rsidRDefault="00A758AC" w:rsidP="00A758AC">
      <w:pPr>
        <w:ind w:firstLine="426"/>
        <w:jc w:val="both"/>
        <w:rPr>
          <w:sz w:val="28"/>
          <w:lang w:val="uk-UA"/>
        </w:rPr>
      </w:pPr>
      <w:proofErr w:type="spellStart"/>
      <w:proofErr w:type="gramStart"/>
      <w:r w:rsidRPr="003762AA">
        <w:rPr>
          <w:i/>
          <w:iCs/>
          <w:sz w:val="28"/>
          <w:lang w:val="en-US"/>
        </w:rPr>
        <w:t>z</w:t>
      </w:r>
      <w:r w:rsidRPr="003762AA">
        <w:rPr>
          <w:i/>
          <w:iCs/>
          <w:sz w:val="28"/>
          <w:vertAlign w:val="subscript"/>
          <w:lang w:val="en-US"/>
        </w:rPr>
        <w:t>r</w:t>
      </w:r>
      <w:proofErr w:type="spellEnd"/>
      <w:proofErr w:type="gramEnd"/>
      <w:r w:rsidRPr="003762AA">
        <w:rPr>
          <w:sz w:val="28"/>
        </w:rPr>
        <w:t> </w:t>
      </w:r>
      <w:r w:rsidRPr="003762AA">
        <w:rPr>
          <w:sz w:val="28"/>
          <w:lang w:val="uk-UA"/>
        </w:rPr>
        <w:t xml:space="preserve">— коефіцієнт стискуваного газу; </w:t>
      </w:r>
    </w:p>
    <w:p w:rsidR="00A758AC" w:rsidRPr="003762AA" w:rsidRDefault="00A758AC" w:rsidP="00A758AC">
      <w:pPr>
        <w:ind w:firstLine="426"/>
        <w:jc w:val="both"/>
        <w:rPr>
          <w:sz w:val="28"/>
          <w:lang w:val="uk-UA"/>
        </w:rPr>
      </w:pPr>
      <w:r w:rsidRPr="003762AA">
        <w:rPr>
          <w:i/>
          <w:iCs/>
          <w:sz w:val="28"/>
          <w:lang w:val="en-US"/>
        </w:rPr>
        <w:t>R</w:t>
      </w:r>
      <w:r w:rsidRPr="003762AA">
        <w:rPr>
          <w:i/>
          <w:iCs/>
          <w:sz w:val="28"/>
          <w:vertAlign w:val="subscript"/>
          <w:lang w:val="uk-UA"/>
        </w:rPr>
        <w:t>Т</w:t>
      </w:r>
      <w:r w:rsidRPr="003762AA">
        <w:rPr>
          <w:sz w:val="28"/>
        </w:rPr>
        <w:t> </w:t>
      </w:r>
      <w:r w:rsidRPr="003762AA">
        <w:rPr>
          <w:sz w:val="28"/>
          <w:lang w:val="uk-UA"/>
        </w:rPr>
        <w:t xml:space="preserve">— радіус труби; </w:t>
      </w:r>
    </w:p>
    <w:p w:rsidR="00A758AC" w:rsidRPr="003762AA" w:rsidRDefault="00A758AC" w:rsidP="00A758AC">
      <w:pPr>
        <w:ind w:firstLine="426"/>
        <w:jc w:val="both"/>
        <w:rPr>
          <w:sz w:val="28"/>
          <w:lang w:val="uk-UA"/>
        </w:rPr>
      </w:pPr>
      <w:r w:rsidRPr="003762AA">
        <w:rPr>
          <w:i/>
          <w:iCs/>
          <w:sz w:val="28"/>
          <w:lang w:val="en-US"/>
        </w:rPr>
        <w:sym w:font="Symbol" w:char="F061"/>
      </w:r>
      <w:proofErr w:type="gramStart"/>
      <w:r w:rsidRPr="003762AA">
        <w:rPr>
          <w:i/>
          <w:iCs/>
          <w:sz w:val="28"/>
          <w:vertAlign w:val="subscript"/>
          <w:lang w:val="en-US"/>
        </w:rPr>
        <w:t>m</w:t>
      </w:r>
      <w:r w:rsidRPr="003762AA">
        <w:rPr>
          <w:i/>
          <w:iCs/>
          <w:sz w:val="28"/>
          <w:vertAlign w:val="subscript"/>
        </w:rPr>
        <w:t>,</w:t>
      </w:r>
      <w:proofErr w:type="gramEnd"/>
      <w:r w:rsidRPr="003762AA">
        <w:rPr>
          <w:i/>
          <w:iCs/>
          <w:sz w:val="28"/>
          <w:vertAlign w:val="subscript"/>
          <w:lang w:val="en-US"/>
        </w:rPr>
        <w:t>n</w:t>
      </w:r>
      <w:r w:rsidRPr="003762AA">
        <w:rPr>
          <w:sz w:val="28"/>
        </w:rPr>
        <w:t xml:space="preserve"> — </w:t>
      </w:r>
      <w:r w:rsidRPr="003762AA">
        <w:rPr>
          <w:sz w:val="28"/>
          <w:lang w:val="uk-UA"/>
        </w:rPr>
        <w:t>корені дисперсійного рівняння частот.</w:t>
      </w:r>
    </w:p>
    <w:p w:rsidR="00A758AC" w:rsidRPr="003762AA" w:rsidRDefault="00A758AC" w:rsidP="00A758AC">
      <w:pPr>
        <w:pStyle w:val="a5"/>
      </w:pPr>
      <w:r w:rsidRPr="003762AA">
        <w:t xml:space="preserve">При акустичному резонансі  </w:t>
      </w:r>
      <w:proofErr w:type="spellStart"/>
      <w:r w:rsidRPr="003762AA">
        <w:rPr>
          <w:i/>
          <w:iCs/>
          <w:lang w:val="en-US"/>
        </w:rPr>
        <w:t>f</w:t>
      </w:r>
      <w:r w:rsidRPr="003762AA">
        <w:rPr>
          <w:i/>
          <w:iCs/>
          <w:vertAlign w:val="subscript"/>
          <w:lang w:val="en-US"/>
        </w:rPr>
        <w:t>a</w:t>
      </w:r>
      <w:proofErr w:type="spellEnd"/>
      <w:r w:rsidRPr="003762AA">
        <w:t> =</w:t>
      </w:r>
      <w:r w:rsidRPr="003762AA">
        <w:rPr>
          <w:lang w:val="en-US"/>
        </w:rPr>
        <w:t> </w:t>
      </w:r>
      <w:r w:rsidRPr="003762AA">
        <w:rPr>
          <w:i/>
          <w:iCs/>
          <w:lang w:val="en-US"/>
        </w:rPr>
        <w:t>f</w:t>
      </w:r>
      <w:r w:rsidRPr="003762AA">
        <w:rPr>
          <w:i/>
          <w:iCs/>
          <w:vertAlign w:val="subscript"/>
        </w:rPr>
        <w:t>л</w:t>
      </w:r>
      <w:r w:rsidRPr="003762AA">
        <w:t xml:space="preserve">  амплітуда </w:t>
      </w:r>
      <w:proofErr w:type="spellStart"/>
      <w:r w:rsidRPr="003762AA">
        <w:t>віброшвидкості</w:t>
      </w:r>
      <w:proofErr w:type="spellEnd"/>
      <w:r w:rsidRPr="003762AA">
        <w:t xml:space="preserve"> рівна: </w:t>
      </w:r>
    </w:p>
    <w:p w:rsidR="00A758AC" w:rsidRPr="003762AA" w:rsidRDefault="00A758AC" w:rsidP="00A758AC">
      <w:pPr>
        <w:tabs>
          <w:tab w:val="right" w:pos="9214"/>
        </w:tabs>
        <w:spacing w:before="120" w:after="120"/>
        <w:ind w:firstLine="709"/>
        <w:jc w:val="right"/>
        <w:rPr>
          <w:sz w:val="28"/>
        </w:rPr>
      </w:pPr>
      <w:r w:rsidRPr="003762AA">
        <w:rPr>
          <w:position w:val="-38"/>
          <w:sz w:val="28"/>
        </w:rPr>
        <w:object w:dxaOrig="2040" w:dyaOrig="820">
          <v:shape id="_x0000_i1026" type="#_x0000_t75" style="width:102pt;height:41.25pt" o:ole="">
            <v:imagedata r:id="rId6" o:title=""/>
          </v:shape>
          <o:OLEObject Type="Embed" ProgID="Equation.2" ShapeID="_x0000_i1026" DrawAspect="Content" ObjectID="_1495359468" r:id="rId7"/>
        </w:object>
      </w:r>
      <w:r w:rsidRPr="003762AA">
        <w:rPr>
          <w:sz w:val="28"/>
        </w:rPr>
        <w:t>,(</w:t>
      </w:r>
      <w:r w:rsidRPr="003762AA">
        <w:rPr>
          <w:sz w:val="28"/>
          <w:lang w:val="uk-UA"/>
        </w:rPr>
        <w:t>2</w:t>
      </w:r>
      <w:r w:rsidRPr="003762AA">
        <w:rPr>
          <w:sz w:val="28"/>
        </w:rPr>
        <w:t>)</w:t>
      </w:r>
    </w:p>
    <w:p w:rsidR="00A758AC" w:rsidRPr="003762AA" w:rsidRDefault="00A758AC" w:rsidP="00A758AC">
      <w:pPr>
        <w:jc w:val="both"/>
        <w:rPr>
          <w:sz w:val="28"/>
          <w:lang w:val="uk-UA"/>
        </w:rPr>
      </w:pPr>
      <w:r w:rsidRPr="003762AA">
        <w:rPr>
          <w:sz w:val="28"/>
        </w:rPr>
        <w:t xml:space="preserve">де </w:t>
      </w:r>
      <w:r w:rsidRPr="003762AA">
        <w:rPr>
          <w:i/>
          <w:iCs/>
          <w:sz w:val="28"/>
        </w:rPr>
        <w:sym w:font="Symbol" w:char="F067"/>
      </w:r>
      <w:r w:rsidRPr="003762AA">
        <w:rPr>
          <w:sz w:val="28"/>
        </w:rPr>
        <w:t xml:space="preserve"> — </w:t>
      </w:r>
      <w:r w:rsidRPr="003762AA">
        <w:rPr>
          <w:sz w:val="28"/>
          <w:lang w:val="uk-UA"/>
        </w:rPr>
        <w:t>щільність газу.</w:t>
      </w:r>
    </w:p>
    <w:p w:rsidR="00A758AC" w:rsidRPr="003762AA" w:rsidRDefault="00A758AC" w:rsidP="00A758AC">
      <w:pPr>
        <w:pStyle w:val="a5"/>
      </w:pPr>
      <w:r w:rsidRPr="003762AA">
        <w:t xml:space="preserve">Якщо власна частота </w:t>
      </w:r>
      <w:proofErr w:type="spellStart"/>
      <w:r w:rsidRPr="003762AA">
        <w:t>упругоакустичної</w:t>
      </w:r>
      <w:proofErr w:type="spellEnd"/>
      <w:r w:rsidRPr="003762AA">
        <w:t xml:space="preserve"> системи відбудована від акустичних р</w:t>
      </w:r>
      <w:r w:rsidRPr="003762AA">
        <w:t>е</w:t>
      </w:r>
      <w:r w:rsidRPr="003762AA">
        <w:t xml:space="preserve">зонансів, то вираження для амплітуди </w:t>
      </w:r>
      <w:proofErr w:type="spellStart"/>
      <w:r w:rsidRPr="003762AA">
        <w:t>віброшвидкості</w:t>
      </w:r>
      <w:proofErr w:type="spellEnd"/>
      <w:r w:rsidRPr="003762AA">
        <w:t xml:space="preserve"> трубної обв'язки на частотах лопаток  </w:t>
      </w:r>
      <w:proofErr w:type="spellStart"/>
      <w:r w:rsidRPr="003762AA">
        <w:rPr>
          <w:i/>
          <w:iCs/>
        </w:rPr>
        <w:t>f</w:t>
      </w:r>
      <w:r w:rsidRPr="003762AA">
        <w:rPr>
          <w:i/>
          <w:iCs/>
          <w:vertAlign w:val="subscript"/>
        </w:rPr>
        <w:t>л</w:t>
      </w:r>
      <w:proofErr w:type="spellEnd"/>
      <w:r w:rsidRPr="003762AA">
        <w:t xml:space="preserve">  можна представити в наступному виді:</w:t>
      </w:r>
    </w:p>
    <w:p w:rsidR="00A758AC" w:rsidRPr="003762AA" w:rsidRDefault="00A758AC" w:rsidP="00A758AC">
      <w:pPr>
        <w:tabs>
          <w:tab w:val="right" w:pos="9214"/>
        </w:tabs>
        <w:spacing w:before="120" w:after="120"/>
        <w:ind w:firstLine="709"/>
        <w:jc w:val="right"/>
        <w:rPr>
          <w:sz w:val="28"/>
        </w:rPr>
      </w:pPr>
      <w:r w:rsidRPr="003762AA">
        <w:rPr>
          <w:position w:val="-60"/>
          <w:sz w:val="28"/>
        </w:rPr>
        <w:object w:dxaOrig="4260" w:dyaOrig="1040">
          <v:shape id="_x0000_i1027" type="#_x0000_t75" style="width:213pt;height:51.75pt" o:ole="">
            <v:imagedata r:id="rId8" o:title=""/>
          </v:shape>
          <o:OLEObject Type="Embed" ProgID="Equation.2" ShapeID="_x0000_i1027" DrawAspect="Content" ObjectID="_1495359469" r:id="rId9"/>
        </w:object>
      </w:r>
      <w:r w:rsidRPr="003762AA">
        <w:rPr>
          <w:sz w:val="28"/>
        </w:rPr>
        <w:t>,(</w:t>
      </w:r>
      <w:r w:rsidRPr="003762AA">
        <w:rPr>
          <w:sz w:val="28"/>
          <w:lang w:val="uk-UA"/>
        </w:rPr>
        <w:t>3</w:t>
      </w:r>
      <w:r w:rsidRPr="003762AA">
        <w:rPr>
          <w:sz w:val="28"/>
        </w:rPr>
        <w:t>)</w:t>
      </w:r>
    </w:p>
    <w:p w:rsidR="00A758AC" w:rsidRPr="003762AA" w:rsidRDefault="00A758AC" w:rsidP="00A758AC">
      <w:pPr>
        <w:jc w:val="both"/>
        <w:rPr>
          <w:sz w:val="28"/>
          <w:lang w:val="uk-UA"/>
        </w:rPr>
      </w:pPr>
      <w:r w:rsidRPr="003762AA">
        <w:rPr>
          <w:sz w:val="28"/>
        </w:rPr>
        <w:t xml:space="preserve">де </w:t>
      </w:r>
      <w:r w:rsidRPr="003762AA">
        <w:rPr>
          <w:i/>
          <w:iCs/>
          <w:sz w:val="28"/>
        </w:rPr>
        <w:sym w:font="Symbol" w:char="F072"/>
      </w:r>
      <w:r w:rsidRPr="003762AA">
        <w:rPr>
          <w:sz w:val="28"/>
        </w:rPr>
        <w:t xml:space="preserve"> — </w:t>
      </w:r>
      <w:r w:rsidRPr="003762AA">
        <w:rPr>
          <w:sz w:val="28"/>
          <w:lang w:val="uk-UA"/>
        </w:rPr>
        <w:t xml:space="preserve">щільність металу труби; </w:t>
      </w:r>
    </w:p>
    <w:p w:rsidR="00A758AC" w:rsidRPr="003762AA" w:rsidRDefault="00A758AC" w:rsidP="00A758AC">
      <w:pPr>
        <w:ind w:firstLine="426"/>
        <w:jc w:val="both"/>
        <w:rPr>
          <w:sz w:val="28"/>
          <w:lang w:val="uk-UA"/>
        </w:rPr>
      </w:pPr>
      <w:proofErr w:type="spellStart"/>
      <w:r w:rsidRPr="003762AA">
        <w:rPr>
          <w:i/>
          <w:iCs/>
          <w:sz w:val="28"/>
        </w:rPr>
        <w:t>h</w:t>
      </w:r>
      <w:proofErr w:type="spellEnd"/>
      <w:r w:rsidRPr="003762AA">
        <w:rPr>
          <w:sz w:val="28"/>
        </w:rPr>
        <w:t xml:space="preserve"> — </w:t>
      </w:r>
      <w:r w:rsidRPr="003762AA">
        <w:rPr>
          <w:sz w:val="28"/>
          <w:lang w:val="uk-UA"/>
        </w:rPr>
        <w:t xml:space="preserve">товщина труби; </w:t>
      </w:r>
    </w:p>
    <w:p w:rsidR="00A758AC" w:rsidRPr="003762AA" w:rsidRDefault="00A758AC" w:rsidP="00A758AC">
      <w:pPr>
        <w:ind w:firstLine="426"/>
        <w:jc w:val="both"/>
        <w:rPr>
          <w:sz w:val="28"/>
          <w:lang w:val="uk-UA"/>
        </w:rPr>
      </w:pPr>
      <w:r w:rsidRPr="003762AA">
        <w:rPr>
          <w:position w:val="-16"/>
          <w:sz w:val="28"/>
        </w:rPr>
        <w:object w:dxaOrig="1440" w:dyaOrig="420">
          <v:shape id="_x0000_i1028" type="#_x0000_t75" style="width:1in;height:21pt" o:ole="">
            <v:imagedata r:id="rId10" o:title=""/>
          </v:shape>
          <o:OLEObject Type="Embed" ProgID="Equation.2" ShapeID="_x0000_i1028" DrawAspect="Content" ObjectID="_1495359470" r:id="rId11"/>
        </w:object>
      </w:r>
      <w:r w:rsidRPr="003762AA">
        <w:rPr>
          <w:sz w:val="28"/>
        </w:rPr>
        <w:t xml:space="preserve"> — </w:t>
      </w:r>
      <w:r w:rsidRPr="003762AA">
        <w:rPr>
          <w:sz w:val="28"/>
          <w:lang w:val="uk-UA"/>
        </w:rPr>
        <w:t xml:space="preserve"> відносна власна частота коливань оболонки.</w:t>
      </w:r>
    </w:p>
    <w:p w:rsidR="00A758AC" w:rsidRPr="003762AA" w:rsidRDefault="00A758AC" w:rsidP="00A758AC">
      <w:pPr>
        <w:pStyle w:val="a5"/>
      </w:pPr>
      <w:r w:rsidRPr="003762AA">
        <w:t xml:space="preserve">Розрахунки </w:t>
      </w:r>
      <w:proofErr w:type="spellStart"/>
      <w:r w:rsidRPr="003762AA">
        <w:t>віброшвидкості</w:t>
      </w:r>
      <w:proofErr w:type="spellEnd"/>
      <w:r w:rsidRPr="003762AA">
        <w:t xml:space="preserve"> трубної обв'язки на першій частоті лопатки нагн</w:t>
      </w:r>
      <w:r w:rsidRPr="003762AA">
        <w:t>і</w:t>
      </w:r>
      <w:r w:rsidRPr="003762AA">
        <w:t>тача 650</w:t>
      </w:r>
      <w:r w:rsidRPr="003762AA">
        <w:noBreakHyphen/>
        <w:t>22</w:t>
      </w:r>
      <w:r w:rsidRPr="003762AA">
        <w:noBreakHyphen/>
        <w:t xml:space="preserve">2 показують, що при значенні частоти лопатки  </w:t>
      </w:r>
      <w:r w:rsidRPr="003762AA">
        <w:rPr>
          <w:i/>
          <w:iCs/>
          <w:lang w:val="en-US"/>
        </w:rPr>
        <w:t>f</w:t>
      </w:r>
      <w:r w:rsidRPr="003762AA">
        <w:rPr>
          <w:i/>
          <w:iCs/>
          <w:vertAlign w:val="subscript"/>
        </w:rPr>
        <w:t>л</w:t>
      </w:r>
      <w:r w:rsidRPr="003762AA">
        <w:t> = 1480 Гц  спостеріг</w:t>
      </w:r>
      <w:r w:rsidRPr="003762AA">
        <w:t>а</w:t>
      </w:r>
      <w:r w:rsidRPr="003762AA">
        <w:t>ється гострий резонанс  (</w:t>
      </w:r>
      <w:r w:rsidRPr="003762AA">
        <w:rPr>
          <w:i/>
          <w:iCs/>
          <w:lang w:val="en-US"/>
        </w:rPr>
        <w:t>r</w:t>
      </w:r>
      <w:r w:rsidRPr="003762AA">
        <w:t xml:space="preserve"> = 1) з оболонковою частотою порядку </w:t>
      </w:r>
      <w:r w:rsidRPr="003762AA">
        <w:rPr>
          <w:i/>
          <w:iCs/>
          <w:lang w:val="en-US"/>
        </w:rPr>
        <w:t>m</w:t>
      </w:r>
      <w:r w:rsidRPr="003762AA">
        <w:t xml:space="preserve"> = 10, </w:t>
      </w:r>
      <w:r w:rsidRPr="003762AA">
        <w:rPr>
          <w:i/>
          <w:iCs/>
          <w:lang w:val="en-US"/>
        </w:rPr>
        <w:t>n</w:t>
      </w:r>
      <w:r w:rsidRPr="003762AA">
        <w:t> = 9,а кіл</w:t>
      </w:r>
      <w:r w:rsidRPr="003762AA">
        <w:t>ь</w:t>
      </w:r>
      <w:r w:rsidRPr="003762AA">
        <w:t xml:space="preserve">цева частота  </w:t>
      </w:r>
      <w:proofErr w:type="spellStart"/>
      <w:r w:rsidRPr="003762AA">
        <w:rPr>
          <w:i/>
          <w:iCs/>
          <w:lang w:val="en-US"/>
        </w:rPr>
        <w:t>f</w:t>
      </w:r>
      <w:r w:rsidRPr="003762AA">
        <w:rPr>
          <w:i/>
          <w:iCs/>
          <w:vertAlign w:val="subscript"/>
          <w:lang w:val="en-US"/>
        </w:rPr>
        <w:t>k</w:t>
      </w:r>
      <w:proofErr w:type="spellEnd"/>
      <w:r w:rsidRPr="003762AA">
        <w:t> = 1642 Гц  має незначне відстроювання від резонансу з частотою л</w:t>
      </w:r>
      <w:r w:rsidRPr="003762AA">
        <w:t>о</w:t>
      </w:r>
      <w:r w:rsidRPr="003762AA">
        <w:t xml:space="preserve">патки. Максимальна амплітуда </w:t>
      </w:r>
      <w:proofErr w:type="spellStart"/>
      <w:r w:rsidRPr="003762AA">
        <w:t>віброшвидкості</w:t>
      </w:r>
      <w:proofErr w:type="spellEnd"/>
      <w:r w:rsidRPr="003762AA">
        <w:t xml:space="preserve"> при </w:t>
      </w:r>
      <w:r w:rsidRPr="003762AA">
        <w:rPr>
          <w:i/>
          <w:iCs/>
        </w:rPr>
        <w:sym w:font="Symbol" w:char="F064"/>
      </w:r>
      <w:r w:rsidRPr="003762AA">
        <w:t> = 0,1 і значеннях втрат в колесі нагнітача 0,01 </w:t>
      </w:r>
      <w:r w:rsidRPr="003762AA">
        <w:sym w:font="Symbol" w:char="F0B8"/>
      </w:r>
      <w:r w:rsidRPr="003762AA">
        <w:t xml:space="preserve"> 0,1 знаходиться в межах 3,9 </w:t>
      </w:r>
      <w:r w:rsidRPr="003762AA">
        <w:sym w:font="Symbol" w:char="F0B8"/>
      </w:r>
      <w:r w:rsidRPr="003762AA">
        <w:t xml:space="preserve"> 39 мм/с, що добре узгоджується з ек</w:t>
      </w:r>
      <w:r w:rsidRPr="003762AA">
        <w:t>с</w:t>
      </w:r>
      <w:r w:rsidRPr="003762AA">
        <w:t>периментальними даними.</w:t>
      </w:r>
    </w:p>
    <w:p w:rsidR="00A758AC" w:rsidRPr="003762AA" w:rsidRDefault="00A758AC" w:rsidP="00A758AC">
      <w:pPr>
        <w:pStyle w:val="a5"/>
      </w:pPr>
      <w:r w:rsidRPr="003762AA">
        <w:t>Аналіз амплітуди, заснований на оцінці амплітудної модуляції випадкової ві</w:t>
      </w:r>
      <w:r w:rsidRPr="003762AA">
        <w:t>б</w:t>
      </w:r>
      <w:r w:rsidRPr="003762AA">
        <w:t>рації і структурного резонансу, є ефективним методом визначення, діагностики і оц</w:t>
      </w:r>
      <w:r w:rsidRPr="003762AA">
        <w:t>і</w:t>
      </w:r>
      <w:r w:rsidRPr="003762AA">
        <w:t xml:space="preserve">нки </w:t>
      </w:r>
      <w:proofErr w:type="spellStart"/>
      <w:r w:rsidRPr="003762AA">
        <w:t>вібростану</w:t>
      </w:r>
      <w:proofErr w:type="spellEnd"/>
      <w:r w:rsidRPr="003762AA">
        <w:t xml:space="preserve"> електродвигуна. Крім того, аналіз амплітуди має більш широку сферу застосування при врахуванні того, що його </w:t>
      </w:r>
      <w:r w:rsidRPr="003762AA">
        <w:lastRenderedPageBreak/>
        <w:t>основна перевага полягає в «зрушенні» високочастотної модуляції в низькочастотний діапазон.</w:t>
      </w:r>
    </w:p>
    <w:p w:rsidR="00A758AC" w:rsidRPr="003762AA" w:rsidRDefault="00A758AC" w:rsidP="00A758AC">
      <w:pPr>
        <w:pStyle w:val="a4"/>
        <w:rPr>
          <w:lang w:val="uk-UA"/>
        </w:rPr>
      </w:pPr>
      <w:r w:rsidRPr="003762AA">
        <w:rPr>
          <w:lang w:val="uk-UA"/>
        </w:rPr>
        <w:t>Робота виконана під керівництвом доц. кафедри СУТП і О Прокопенко О.О.</w:t>
      </w:r>
    </w:p>
    <w:p w:rsidR="00565861" w:rsidRPr="00A758AC" w:rsidRDefault="00565861">
      <w:pPr>
        <w:rPr>
          <w:lang w:val="uk-UA"/>
        </w:rPr>
      </w:pPr>
    </w:p>
    <w:sectPr w:rsidR="00565861" w:rsidRPr="00A758AC" w:rsidSect="00565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8AC"/>
    <w:rsid w:val="001C58C5"/>
    <w:rsid w:val="001D4E2B"/>
    <w:rsid w:val="00565861"/>
    <w:rsid w:val="00707609"/>
    <w:rsid w:val="008F6AEE"/>
    <w:rsid w:val="00A758AC"/>
    <w:rsid w:val="00C17443"/>
    <w:rsid w:val="00D114A6"/>
    <w:rsid w:val="00D678A2"/>
    <w:rsid w:val="00EA07D5"/>
    <w:rsid w:val="00F7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НАЗВ_тез"/>
    <w:basedOn w:val="a"/>
    <w:qFormat/>
    <w:rsid w:val="00A758AC"/>
    <w:pPr>
      <w:keepNext/>
      <w:keepLines/>
      <w:spacing w:after="240"/>
      <w:jc w:val="both"/>
      <w:outlineLvl w:val="0"/>
    </w:pPr>
    <w:rPr>
      <w:b/>
      <w:bCs/>
      <w:caps/>
      <w:color w:val="000000"/>
      <w:sz w:val="28"/>
      <w:szCs w:val="28"/>
      <w:lang w:val="uk-UA"/>
    </w:rPr>
  </w:style>
  <w:style w:type="paragraph" w:customStyle="1" w:styleId="a4">
    <w:name w:val="А_руков_тез"/>
    <w:basedOn w:val="a"/>
    <w:qFormat/>
    <w:rsid w:val="00A758AC"/>
    <w:pPr>
      <w:pBdr>
        <w:top w:val="single" w:sz="4" w:space="1" w:color="auto"/>
      </w:pBdr>
      <w:spacing w:before="120"/>
      <w:jc w:val="both"/>
    </w:pPr>
    <w:rPr>
      <w:sz w:val="28"/>
      <w:szCs w:val="28"/>
    </w:rPr>
  </w:style>
  <w:style w:type="paragraph" w:customStyle="1" w:styleId="a5">
    <w:name w:val="А_текст_тез"/>
    <w:basedOn w:val="a"/>
    <w:qFormat/>
    <w:rsid w:val="00A758AC"/>
    <w:pPr>
      <w:ind w:firstLine="709"/>
      <w:jc w:val="both"/>
    </w:pPr>
    <w:rPr>
      <w:rFonts w:eastAsia="Calibri"/>
      <w:spacing w:val="-2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2015-06-09T09:49:00Z</dcterms:created>
  <dcterms:modified xsi:type="dcterms:W3CDTF">2015-06-09T09:51:00Z</dcterms:modified>
</cp:coreProperties>
</file>