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9" w:rsidRDefault="00C43EF9" w:rsidP="00C43EF9">
      <w:pPr>
        <w:pStyle w:val="1"/>
        <w:rPr>
          <w:lang w:val="uk-UA"/>
        </w:rPr>
      </w:pPr>
      <w:bookmarkStart w:id="0" w:name="_Toc378699286"/>
      <w:r>
        <w:rPr>
          <w:lang w:val="uk-UA"/>
        </w:rPr>
        <w:t>Бикова В.С.</w:t>
      </w:r>
      <w:bookmarkEnd w:id="0"/>
    </w:p>
    <w:p w:rsidR="00C43EF9" w:rsidRDefault="00C43EF9" w:rsidP="00C43EF9">
      <w:pPr>
        <w:pStyle w:val="1"/>
        <w:rPr>
          <w:rStyle w:val="45"/>
          <w:b/>
          <w:bCs/>
          <w:i w:val="0"/>
          <w:szCs w:val="28"/>
        </w:rPr>
      </w:pPr>
      <w:bookmarkStart w:id="1" w:name="_Toc378699287"/>
      <w:r>
        <w:rPr>
          <w:rStyle w:val="45"/>
          <w:b/>
          <w:bCs/>
          <w:i w:val="0"/>
          <w:szCs w:val="28"/>
          <w:lang w:val="uk-UA"/>
        </w:rPr>
        <w:t>ВПЛИВ МАСО-ГАБАРИТНИХ ПОКАЗНИКІВ ГІДРОГЕНЕРАТОРІВ НА ЇХЕКОНОМІЧНІ ПОКАЗНИКИ</w:t>
      </w:r>
      <w:bookmarkEnd w:id="1"/>
    </w:p>
    <w:p w:rsidR="00C43EF9" w:rsidRDefault="00C43EF9" w:rsidP="00C43EF9">
      <w:pPr>
        <w:tabs>
          <w:tab w:val="left" w:pos="0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rStyle w:val="45"/>
          <w:b w:val="0"/>
          <w:i w:val="0"/>
          <w:sz w:val="28"/>
          <w:szCs w:val="28"/>
          <w:lang w:val="uk-UA"/>
        </w:rPr>
        <w:t>Провівши аналіз довідкових матеріалів по гідрогенераторам, а саме їх масо-габаритних показників, було виявлено розподіл маси м</w:t>
      </w:r>
      <w:bookmarkStart w:id="2" w:name="_GoBack"/>
      <w:bookmarkEnd w:id="2"/>
      <w:r>
        <w:rPr>
          <w:rStyle w:val="45"/>
          <w:b w:val="0"/>
          <w:i w:val="0"/>
          <w:sz w:val="28"/>
          <w:szCs w:val="28"/>
          <w:lang w:val="uk-UA"/>
        </w:rPr>
        <w:t xml:space="preserve">іж елементними частинами гідрогенератора в залежності від його типу та конструктивних особливостей. Таким чином були отримані наступні результати розподілу маси: </w:t>
      </w:r>
    </w:p>
    <w:p w:rsidR="00C43EF9" w:rsidRDefault="00C43EF9" w:rsidP="00C43EF9">
      <w:pPr>
        <w:tabs>
          <w:tab w:val="left" w:pos="0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rStyle w:val="45"/>
          <w:bCs w:val="0"/>
          <w:iCs w:val="0"/>
          <w:sz w:val="28"/>
          <w:szCs w:val="28"/>
          <w:lang w:val="uk-UA"/>
        </w:rPr>
        <w:t>-</w:t>
      </w:r>
      <w:r>
        <w:rPr>
          <w:rStyle w:val="45"/>
          <w:b w:val="0"/>
          <w:i w:val="0"/>
          <w:sz w:val="28"/>
          <w:szCs w:val="28"/>
          <w:lang w:val="uk-UA"/>
        </w:rPr>
        <w:t xml:space="preserve"> у синхронних вертикальних гідрогенераторах з охолодженням статора і р</w:t>
      </w:r>
      <w:r>
        <w:rPr>
          <w:rStyle w:val="45"/>
          <w:b w:val="0"/>
          <w:i w:val="0"/>
          <w:sz w:val="28"/>
          <w:szCs w:val="28"/>
          <w:lang w:val="uk-UA"/>
        </w:rPr>
        <w:t>о</w:t>
      </w:r>
      <w:r>
        <w:rPr>
          <w:rStyle w:val="45"/>
          <w:b w:val="0"/>
          <w:i w:val="0"/>
          <w:sz w:val="28"/>
          <w:szCs w:val="28"/>
          <w:lang w:val="uk-UA"/>
        </w:rPr>
        <w:t>тора повітрям, синхронних вертикальних гідрогенераторах з безпосереднім охол</w:t>
      </w:r>
      <w:r>
        <w:rPr>
          <w:rStyle w:val="45"/>
          <w:b w:val="0"/>
          <w:i w:val="0"/>
          <w:sz w:val="28"/>
          <w:szCs w:val="28"/>
          <w:lang w:val="uk-UA"/>
        </w:rPr>
        <w:t>о</w:t>
      </w:r>
      <w:r>
        <w:rPr>
          <w:rStyle w:val="45"/>
          <w:b w:val="0"/>
          <w:i w:val="0"/>
          <w:sz w:val="28"/>
          <w:szCs w:val="28"/>
          <w:lang w:val="uk-UA"/>
        </w:rPr>
        <w:t>дженням обмотки статора водою та форсованим охолодженням обмотки ротора п</w:t>
      </w:r>
      <w:r>
        <w:rPr>
          <w:rStyle w:val="45"/>
          <w:b w:val="0"/>
          <w:i w:val="0"/>
          <w:sz w:val="28"/>
          <w:szCs w:val="28"/>
          <w:lang w:val="uk-UA"/>
        </w:rPr>
        <w:t>о</w:t>
      </w:r>
      <w:r>
        <w:rPr>
          <w:rStyle w:val="45"/>
          <w:b w:val="0"/>
          <w:i w:val="0"/>
          <w:sz w:val="28"/>
          <w:szCs w:val="28"/>
          <w:lang w:val="uk-UA"/>
        </w:rPr>
        <w:t>вітрям розподіл маси становить: ротор 50 ± 3%, статор 28 ± 5%, інші складові 22 ± 6%;</w:t>
      </w:r>
    </w:p>
    <w:p w:rsidR="00C43EF9" w:rsidRDefault="00C43EF9" w:rsidP="00C43EF9">
      <w:pPr>
        <w:tabs>
          <w:tab w:val="left" w:pos="0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rStyle w:val="45"/>
          <w:b w:val="0"/>
          <w:i w:val="0"/>
          <w:sz w:val="28"/>
          <w:szCs w:val="28"/>
          <w:lang w:val="uk-UA"/>
        </w:rPr>
        <w:t xml:space="preserve">- у синхронних вертикальних гідрогенераторах-двигунах ротор займає 55±3% маси машини, статор 22 ± 4%, інші складові 23 ± 6%; </w:t>
      </w:r>
    </w:p>
    <w:p w:rsidR="00C43EF9" w:rsidRDefault="00C43EF9" w:rsidP="00C43EF9">
      <w:pPr>
        <w:tabs>
          <w:tab w:val="left" w:pos="0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rStyle w:val="45"/>
          <w:b w:val="0"/>
          <w:i w:val="0"/>
          <w:sz w:val="28"/>
          <w:szCs w:val="28"/>
          <w:lang w:val="uk-UA"/>
        </w:rPr>
        <w:t>- у синхронних горизонтальних гідрогенераторах з охолодженням статора і ротора повітрям, синхронних горизонтальних капсульних гідрогенераторах  та си</w:t>
      </w:r>
      <w:r>
        <w:rPr>
          <w:rStyle w:val="45"/>
          <w:b w:val="0"/>
          <w:i w:val="0"/>
          <w:sz w:val="28"/>
          <w:szCs w:val="28"/>
          <w:lang w:val="uk-UA"/>
        </w:rPr>
        <w:t>н</w:t>
      </w:r>
      <w:r>
        <w:rPr>
          <w:rStyle w:val="45"/>
          <w:b w:val="0"/>
          <w:i w:val="0"/>
          <w:sz w:val="28"/>
          <w:szCs w:val="28"/>
          <w:lang w:val="uk-UA"/>
        </w:rPr>
        <w:t>хронних горизонтальних гідрогенераторах з безпосереднім охолодженням обмотки статора і ротора  водою:  ротор 40 ± 3%, статор 28 ± 5%, інші складові 32 ± 6%.</w:t>
      </w:r>
    </w:p>
    <w:p w:rsidR="00C43EF9" w:rsidRDefault="00C43EF9" w:rsidP="00C43EF9">
      <w:pPr>
        <w:tabs>
          <w:tab w:val="left" w:pos="0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rStyle w:val="45"/>
          <w:b w:val="0"/>
          <w:i w:val="0"/>
          <w:sz w:val="28"/>
          <w:szCs w:val="28"/>
          <w:lang w:val="uk-UA"/>
        </w:rPr>
        <w:t>Границі можливих розбіжностей в розподілі маси між елементами машини з</w:t>
      </w:r>
      <w:r>
        <w:rPr>
          <w:rStyle w:val="45"/>
          <w:b w:val="0"/>
          <w:i w:val="0"/>
          <w:sz w:val="28"/>
          <w:szCs w:val="28"/>
          <w:lang w:val="uk-UA"/>
        </w:rPr>
        <w:t>а</w:t>
      </w:r>
      <w:r>
        <w:rPr>
          <w:rStyle w:val="45"/>
          <w:b w:val="0"/>
          <w:i w:val="0"/>
          <w:sz w:val="28"/>
          <w:szCs w:val="28"/>
          <w:lang w:val="uk-UA"/>
        </w:rPr>
        <w:t>лежать від конструктивних особливостей та швидкості обертання машини.</w:t>
      </w:r>
    </w:p>
    <w:p w:rsidR="00C43EF9" w:rsidRDefault="00C43EF9" w:rsidP="00C43EF9">
      <w:pPr>
        <w:tabs>
          <w:tab w:val="left" w:pos="0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noProof/>
          <w:sz w:val="28"/>
          <w:lang w:val="uk-UA" w:eastAsia="uk-UA"/>
        </w:rPr>
        <w:drawing>
          <wp:anchor distT="91440" distB="152400" distL="175260" distR="12954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4457700</wp:posOffset>
            </wp:positionV>
            <wp:extent cx="3048000" cy="128016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Style w:val="45"/>
          <w:b w:val="0"/>
          <w:i w:val="0"/>
          <w:sz w:val="28"/>
          <w:szCs w:val="28"/>
          <w:lang w:val="uk-UA"/>
        </w:rPr>
        <w:t>Габарити гідрогенераторів мають велику розбіжність в залежності від шви</w:t>
      </w:r>
      <w:r>
        <w:rPr>
          <w:rStyle w:val="45"/>
          <w:b w:val="0"/>
          <w:i w:val="0"/>
          <w:sz w:val="28"/>
          <w:szCs w:val="28"/>
          <w:lang w:val="uk-UA"/>
        </w:rPr>
        <w:t>д</w:t>
      </w:r>
      <w:r>
        <w:rPr>
          <w:rStyle w:val="45"/>
          <w:b w:val="0"/>
          <w:i w:val="0"/>
          <w:sz w:val="28"/>
          <w:szCs w:val="28"/>
          <w:lang w:val="uk-UA"/>
        </w:rPr>
        <w:t xml:space="preserve">кості обертання, системи охолодження та типу машини. </w:t>
      </w:r>
    </w:p>
    <w:p w:rsidR="00C43EF9" w:rsidRDefault="00C43EF9" w:rsidP="00C43EF9">
      <w:pPr>
        <w:tabs>
          <w:tab w:val="left" w:pos="0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bCs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2.25pt;margin-top:67.1pt;width:238pt;height:45.25pt;z-index:251661312" stroked="f">
            <v:textbox>
              <w:txbxContent>
                <w:p w:rsidR="00C43EF9" w:rsidRDefault="00C43EF9" w:rsidP="00C43EF9">
                  <w:pPr>
                    <w:tabs>
                      <w:tab w:val="left" w:pos="9355"/>
                    </w:tabs>
                    <w:jc w:val="both"/>
                    <w:rPr>
                      <w:lang w:val="en-US"/>
                    </w:rPr>
                  </w:pPr>
                  <w:r>
                    <w:rPr>
                      <w:rStyle w:val="45"/>
                      <w:b w:val="0"/>
                      <w:i w:val="0"/>
                      <w:szCs w:val="28"/>
                      <w:lang w:val="uk-UA"/>
                    </w:rPr>
                    <w:t>Рис.1 - Графік розподілення питомої матеріало</w:t>
                  </w:r>
                  <w:r>
                    <w:rPr>
                      <w:rStyle w:val="45"/>
                      <w:b w:val="0"/>
                      <w:i w:val="0"/>
                      <w:szCs w:val="28"/>
                      <w:lang w:val="uk-UA"/>
                    </w:rPr>
                    <w:t>є</w:t>
                  </w:r>
                  <w:r>
                    <w:rPr>
                      <w:rStyle w:val="45"/>
                      <w:b w:val="0"/>
                      <w:i w:val="0"/>
                      <w:szCs w:val="28"/>
                      <w:lang w:val="uk-UA"/>
                    </w:rPr>
                    <w:t>мності гідрогенераторів відносно їхньої поту</w:t>
                  </w:r>
                  <w:r>
                    <w:rPr>
                      <w:rStyle w:val="45"/>
                      <w:b w:val="0"/>
                      <w:i w:val="0"/>
                      <w:szCs w:val="28"/>
                      <w:lang w:val="uk-UA"/>
                    </w:rPr>
                    <w:t>ж</w:t>
                  </w:r>
                  <w:r>
                    <w:rPr>
                      <w:rStyle w:val="45"/>
                      <w:b w:val="0"/>
                      <w:i w:val="0"/>
                      <w:szCs w:val="28"/>
                      <w:lang w:val="uk-UA"/>
                    </w:rPr>
                    <w:t>ності та виробника</w:t>
                  </w:r>
                </w:p>
              </w:txbxContent>
            </v:textbox>
            <w10:wrap type="square"/>
          </v:shape>
        </w:pict>
      </w:r>
      <w:r>
        <w:rPr>
          <w:rStyle w:val="45"/>
          <w:b w:val="0"/>
          <w:i w:val="0"/>
          <w:sz w:val="28"/>
          <w:szCs w:val="28"/>
          <w:lang w:val="uk-UA"/>
        </w:rPr>
        <w:t>Достатньо суттєвий вплив на масо-габаритні характеристики оказує доде</w:t>
      </w:r>
      <w:r>
        <w:rPr>
          <w:rStyle w:val="45"/>
          <w:b w:val="0"/>
          <w:i w:val="0"/>
          <w:sz w:val="28"/>
          <w:szCs w:val="28"/>
          <w:lang w:val="uk-UA"/>
        </w:rPr>
        <w:t>р</w:t>
      </w:r>
      <w:r>
        <w:rPr>
          <w:rStyle w:val="45"/>
          <w:b w:val="0"/>
          <w:i w:val="0"/>
          <w:sz w:val="28"/>
          <w:szCs w:val="28"/>
          <w:lang w:val="uk-UA"/>
        </w:rPr>
        <w:t xml:space="preserve">жання високого значення моменту інерції гідрогенераторів, а саме на діаметр та масу ротора. </w:t>
      </w:r>
    </w:p>
    <w:p w:rsidR="00C43EF9" w:rsidRDefault="00C43EF9" w:rsidP="00C43EF9">
      <w:pPr>
        <w:tabs>
          <w:tab w:val="left" w:pos="9355"/>
        </w:tabs>
        <w:ind w:firstLine="709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rStyle w:val="45"/>
          <w:b w:val="0"/>
          <w:i w:val="0"/>
          <w:sz w:val="28"/>
          <w:szCs w:val="28"/>
          <w:lang w:val="uk-UA"/>
        </w:rPr>
        <w:t xml:space="preserve">Виробники гідрогенераторів для визначення ефективності використання ресурсів (металу, енергоресурсів, </w:t>
      </w:r>
      <w:proofErr w:type="spellStart"/>
      <w:r>
        <w:rPr>
          <w:rStyle w:val="45"/>
          <w:b w:val="0"/>
          <w:i w:val="0"/>
          <w:sz w:val="28"/>
          <w:szCs w:val="28"/>
          <w:lang w:val="uk-UA"/>
        </w:rPr>
        <w:t>трудозатрат</w:t>
      </w:r>
      <w:proofErr w:type="spellEnd"/>
      <w:r>
        <w:rPr>
          <w:rStyle w:val="45"/>
          <w:b w:val="0"/>
          <w:i w:val="0"/>
          <w:sz w:val="28"/>
          <w:szCs w:val="28"/>
          <w:lang w:val="uk-UA"/>
        </w:rPr>
        <w:t>) обрали такий показник як питома м</w:t>
      </w:r>
      <w:r>
        <w:rPr>
          <w:rStyle w:val="45"/>
          <w:b w:val="0"/>
          <w:i w:val="0"/>
          <w:sz w:val="28"/>
          <w:szCs w:val="28"/>
          <w:lang w:val="uk-UA"/>
        </w:rPr>
        <w:t>а</w:t>
      </w:r>
      <w:r>
        <w:rPr>
          <w:rStyle w:val="45"/>
          <w:b w:val="0"/>
          <w:i w:val="0"/>
          <w:sz w:val="28"/>
          <w:szCs w:val="28"/>
          <w:lang w:val="uk-UA"/>
        </w:rPr>
        <w:t xml:space="preserve">теріалоємність </w:t>
      </w:r>
      <w:r>
        <w:rPr>
          <w:rStyle w:val="45"/>
          <w:b w:val="0"/>
          <w:i w:val="0"/>
          <w:sz w:val="28"/>
          <w:szCs w:val="28"/>
          <w:lang w:val="en-US"/>
        </w:rPr>
        <w:t>g</w:t>
      </w:r>
      <w:r>
        <w:rPr>
          <w:rStyle w:val="45"/>
          <w:b w:val="0"/>
          <w:i w:val="0"/>
          <w:sz w:val="28"/>
          <w:szCs w:val="28"/>
          <w:lang w:val="uk-UA"/>
        </w:rPr>
        <w:t>, який показує скільки кілограмів готової продукції (гідрогенерат</w:t>
      </w:r>
      <w:r>
        <w:rPr>
          <w:rStyle w:val="45"/>
          <w:b w:val="0"/>
          <w:i w:val="0"/>
          <w:sz w:val="28"/>
          <w:szCs w:val="28"/>
          <w:lang w:val="uk-UA"/>
        </w:rPr>
        <w:t>о</w:t>
      </w:r>
      <w:r>
        <w:rPr>
          <w:rStyle w:val="45"/>
          <w:b w:val="0"/>
          <w:i w:val="0"/>
          <w:sz w:val="28"/>
          <w:szCs w:val="28"/>
          <w:lang w:val="uk-UA"/>
        </w:rPr>
        <w:t>ра) приходиться на 1 кВА його встановленої потужності. За допомогою цього пок</w:t>
      </w:r>
      <w:r>
        <w:rPr>
          <w:rStyle w:val="45"/>
          <w:b w:val="0"/>
          <w:i w:val="0"/>
          <w:sz w:val="28"/>
          <w:szCs w:val="28"/>
          <w:lang w:val="uk-UA"/>
        </w:rPr>
        <w:t>а</w:t>
      </w:r>
      <w:r>
        <w:rPr>
          <w:rStyle w:val="45"/>
          <w:b w:val="0"/>
          <w:i w:val="0"/>
          <w:sz w:val="28"/>
          <w:szCs w:val="28"/>
          <w:lang w:val="uk-UA"/>
        </w:rPr>
        <w:t>зника можна визначити досконалість проектування генератора та можливі н</w:t>
      </w:r>
      <w:r>
        <w:rPr>
          <w:rStyle w:val="45"/>
          <w:b w:val="0"/>
          <w:i w:val="0"/>
          <w:sz w:val="28"/>
          <w:szCs w:val="28"/>
          <w:lang w:val="uk-UA"/>
        </w:rPr>
        <w:t>а</w:t>
      </w:r>
      <w:r>
        <w:rPr>
          <w:rStyle w:val="45"/>
          <w:b w:val="0"/>
          <w:i w:val="0"/>
          <w:sz w:val="28"/>
          <w:szCs w:val="28"/>
          <w:lang w:val="uk-UA"/>
        </w:rPr>
        <w:t xml:space="preserve">прямки </w:t>
      </w:r>
      <w:proofErr w:type="spellStart"/>
      <w:r>
        <w:rPr>
          <w:rStyle w:val="45"/>
          <w:b w:val="0"/>
          <w:i w:val="0"/>
          <w:sz w:val="28"/>
          <w:szCs w:val="28"/>
          <w:lang w:val="uk-UA"/>
        </w:rPr>
        <w:t>енерго-</w:t>
      </w:r>
      <w:proofErr w:type="spellEnd"/>
      <w:r>
        <w:rPr>
          <w:rStyle w:val="45"/>
          <w:b w:val="0"/>
          <w:i w:val="0"/>
          <w:sz w:val="28"/>
          <w:szCs w:val="28"/>
          <w:lang w:val="uk-UA"/>
        </w:rPr>
        <w:t xml:space="preserve"> та ресурсозбереження при виробництві гі</w:t>
      </w:r>
      <w:r>
        <w:rPr>
          <w:rStyle w:val="45"/>
          <w:b w:val="0"/>
          <w:i w:val="0"/>
          <w:sz w:val="28"/>
          <w:szCs w:val="28"/>
          <w:lang w:val="uk-UA"/>
        </w:rPr>
        <w:t>д</w:t>
      </w:r>
      <w:r>
        <w:rPr>
          <w:rStyle w:val="45"/>
          <w:b w:val="0"/>
          <w:i w:val="0"/>
          <w:sz w:val="28"/>
          <w:szCs w:val="28"/>
          <w:lang w:val="uk-UA"/>
        </w:rPr>
        <w:t>рогенераторів.</w:t>
      </w:r>
    </w:p>
    <w:p w:rsidR="00C43EF9" w:rsidRDefault="00C43EF9" w:rsidP="00C43EF9">
      <w:pPr>
        <w:tabs>
          <w:tab w:val="left" w:pos="9355"/>
        </w:tabs>
        <w:ind w:firstLine="708"/>
        <w:jc w:val="both"/>
        <w:rPr>
          <w:rStyle w:val="45"/>
          <w:b w:val="0"/>
          <w:i w:val="0"/>
          <w:sz w:val="28"/>
          <w:szCs w:val="28"/>
          <w:lang w:val="uk-UA"/>
        </w:rPr>
      </w:pPr>
      <w:r>
        <w:rPr>
          <w:rStyle w:val="45"/>
          <w:b w:val="0"/>
          <w:i w:val="0"/>
          <w:sz w:val="28"/>
          <w:szCs w:val="28"/>
          <w:lang w:val="uk-UA"/>
        </w:rPr>
        <w:t>В умовах сучасних ринкових відносин вітчизняні гідрогенератори мають малу конкурентоспроможність із-за їхньої великої матеріалоємності, та, як наслідок, в</w:t>
      </w:r>
      <w:r>
        <w:rPr>
          <w:rStyle w:val="45"/>
          <w:b w:val="0"/>
          <w:i w:val="0"/>
          <w:sz w:val="28"/>
          <w:szCs w:val="28"/>
          <w:lang w:val="uk-UA"/>
        </w:rPr>
        <w:t>е</w:t>
      </w:r>
      <w:r>
        <w:rPr>
          <w:rStyle w:val="45"/>
          <w:b w:val="0"/>
          <w:i w:val="0"/>
          <w:sz w:val="28"/>
          <w:szCs w:val="28"/>
          <w:lang w:val="uk-UA"/>
        </w:rPr>
        <w:t>ликих капітальних затрат на саме електрообладнання та на будівельні роботи та о</w:t>
      </w:r>
      <w:r>
        <w:rPr>
          <w:rStyle w:val="45"/>
          <w:b w:val="0"/>
          <w:i w:val="0"/>
          <w:sz w:val="28"/>
          <w:szCs w:val="28"/>
          <w:lang w:val="uk-UA"/>
        </w:rPr>
        <w:t>б</w:t>
      </w:r>
      <w:r>
        <w:rPr>
          <w:rStyle w:val="45"/>
          <w:b w:val="0"/>
          <w:i w:val="0"/>
          <w:sz w:val="28"/>
          <w:szCs w:val="28"/>
          <w:lang w:val="uk-UA"/>
        </w:rPr>
        <w:t>ладнання при будівництві гідроелектростанцій.</w:t>
      </w:r>
    </w:p>
    <w:p w:rsidR="00C43EF9" w:rsidRDefault="00C43EF9" w:rsidP="00C43EF9">
      <w:pPr>
        <w:pBdr>
          <w:bottom w:val="single" w:sz="12" w:space="1" w:color="auto"/>
        </w:pBdr>
        <w:tabs>
          <w:tab w:val="left" w:pos="9355"/>
        </w:tabs>
        <w:ind w:firstLine="709"/>
        <w:jc w:val="both"/>
        <w:rPr>
          <w:sz w:val="28"/>
          <w:lang w:val="uk-UA"/>
        </w:rPr>
      </w:pPr>
      <w:r>
        <w:rPr>
          <w:rStyle w:val="45"/>
          <w:b w:val="0"/>
          <w:i w:val="0"/>
          <w:sz w:val="28"/>
          <w:szCs w:val="28"/>
          <w:lang w:val="uk-UA"/>
        </w:rPr>
        <w:t>Це зумовлено недосконалістю проектування електричних машин та завищ</w:t>
      </w:r>
      <w:r>
        <w:rPr>
          <w:rStyle w:val="45"/>
          <w:b w:val="0"/>
          <w:i w:val="0"/>
          <w:sz w:val="28"/>
          <w:szCs w:val="28"/>
          <w:lang w:val="uk-UA"/>
        </w:rPr>
        <w:t>е</w:t>
      </w:r>
      <w:r>
        <w:rPr>
          <w:rStyle w:val="45"/>
          <w:b w:val="0"/>
          <w:i w:val="0"/>
          <w:sz w:val="28"/>
          <w:szCs w:val="28"/>
          <w:lang w:val="uk-UA"/>
        </w:rPr>
        <w:t>ними нормами моменту інерції гідрогенератора для забезпечення його динамічної стійкості в системі.</w:t>
      </w:r>
    </w:p>
    <w:p w:rsidR="00C43EF9" w:rsidRDefault="00C43EF9" w:rsidP="00C43EF9">
      <w:pPr>
        <w:pStyle w:val="a3"/>
        <w:tabs>
          <w:tab w:val="clear" w:pos="5103"/>
          <w:tab w:val="clear" w:pos="10206"/>
          <w:tab w:val="left" w:pos="9355"/>
        </w:tabs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Робота виконана під керівництвом ас. кафедри </w:t>
      </w:r>
      <w:proofErr w:type="spellStart"/>
      <w:r>
        <w:rPr>
          <w:szCs w:val="28"/>
          <w:lang w:val="uk-UA"/>
        </w:rPr>
        <w:t>ЕЕ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Занихайла</w:t>
      </w:r>
      <w:proofErr w:type="spellEnd"/>
      <w:r>
        <w:rPr>
          <w:szCs w:val="28"/>
          <w:lang w:val="uk-UA"/>
        </w:rPr>
        <w:t xml:space="preserve"> Є.О.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3EF9"/>
    <w:rsid w:val="0007502A"/>
    <w:rsid w:val="00BD6CF8"/>
    <w:rsid w:val="00C43EF9"/>
    <w:rsid w:val="00C910C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3EF9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E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customStyle="1" w:styleId="a3">
    <w:name w:val="Формула"/>
    <w:basedOn w:val="a"/>
    <w:rsid w:val="00C43EF9"/>
    <w:pPr>
      <w:tabs>
        <w:tab w:val="center" w:pos="5103"/>
        <w:tab w:val="right" w:pos="10206"/>
      </w:tabs>
      <w:spacing w:line="360" w:lineRule="auto"/>
      <w:jc w:val="center"/>
    </w:pPr>
    <w:rPr>
      <w:sz w:val="28"/>
    </w:rPr>
  </w:style>
  <w:style w:type="character" w:customStyle="1" w:styleId="45">
    <w:name w:val="Основной текст (45) + Полужирный"/>
    <w:aliases w:val="Курсив"/>
    <w:basedOn w:val="a0"/>
    <w:rsid w:val="00C43EF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7.3555166374781086E-2"/>
          <c:y val="8.2446808510638292E-2"/>
          <c:w val="0.64273204903677761"/>
          <c:h val="0.6808510638297878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українські виробники</c:v>
                </c:pt>
              </c:strCache>
            </c:strRef>
          </c:tx>
          <c:spPr>
            <a:ln w="1198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до 100 МВА</c:v>
                </c:pt>
                <c:pt idx="1">
                  <c:v>100-250 МВА</c:v>
                </c:pt>
                <c:pt idx="2">
                  <c:v>вище 250 МВА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7.31</c:v>
                </c:pt>
                <c:pt idx="1">
                  <c:v>5.54</c:v>
                </c:pt>
                <c:pt idx="2">
                  <c:v>4.53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світові виробники</c:v>
                </c:pt>
              </c:strCache>
            </c:strRef>
          </c:tx>
          <c:spPr>
            <a:ln w="11985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до 100 МВА</c:v>
                </c:pt>
                <c:pt idx="1">
                  <c:v>100-250 МВА</c:v>
                </c:pt>
                <c:pt idx="2">
                  <c:v>вище 250 МВА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4.8199999999999985</c:v>
                </c:pt>
                <c:pt idx="1">
                  <c:v>4.5</c:v>
                </c:pt>
                <c:pt idx="2">
                  <c:v>2.68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російські виробники</c:v>
                </c:pt>
              </c:strCache>
            </c:strRef>
          </c:tx>
          <c:spPr>
            <a:ln w="11985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до 100 МВА</c:v>
                </c:pt>
                <c:pt idx="1">
                  <c:v>100-250 МВА</c:v>
                </c:pt>
                <c:pt idx="2">
                  <c:v>вище 250 МВА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1">
                  <c:v>5.56</c:v>
                </c:pt>
                <c:pt idx="2">
                  <c:v>3.1</c:v>
                </c:pt>
              </c:numCache>
            </c:numRef>
          </c:val>
        </c:ser>
        <c:marker val="1"/>
        <c:axId val="65421312"/>
        <c:axId val="105180544"/>
      </c:lineChart>
      <c:catAx>
        <c:axId val="65421312"/>
        <c:scaling>
          <c:orientation val="minMax"/>
        </c:scaling>
        <c:axPos val="b"/>
        <c:numFmt formatCode="General" sourceLinked="1"/>
        <c:tickLblPos val="nextTo"/>
        <c:spPr>
          <a:ln w="29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05180544"/>
        <c:crosses val="autoZero"/>
        <c:auto val="1"/>
        <c:lblAlgn val="ctr"/>
        <c:lblOffset val="100"/>
        <c:tickLblSkip val="1"/>
        <c:tickMarkSkip val="1"/>
      </c:catAx>
      <c:valAx>
        <c:axId val="105180544"/>
        <c:scaling>
          <c:orientation val="minMax"/>
        </c:scaling>
        <c:axPos val="l"/>
        <c:majorGridlines>
          <c:spPr>
            <a:ln w="299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65421312"/>
        <c:crosses val="autoZero"/>
        <c:crossBetween val="between"/>
      </c:valAx>
      <c:spPr>
        <a:noFill/>
        <a:ln w="11985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7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7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ayout>
        <c:manualLayout>
          <c:xMode val="edge"/>
          <c:yMode val="edge"/>
          <c:x val="0.73212235263044978"/>
          <c:y val="6.1539807524059478E-2"/>
          <c:w val="0.26378547021244997"/>
          <c:h val="0.58656237970253677"/>
        </c:manualLayout>
      </c:layout>
      <c:spPr>
        <a:noFill/>
        <a:ln w="2996">
          <a:solidFill>
            <a:srgbClr val="000000"/>
          </a:solidFill>
          <a:prstDash val="solid"/>
        </a:ln>
      </c:spPr>
      <c:txPr>
        <a:bodyPr/>
        <a:lstStyle/>
        <a:p>
          <a:pPr>
            <a:defRPr sz="143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2014-10-07T05:16:00Z</dcterms:created>
  <dcterms:modified xsi:type="dcterms:W3CDTF">2014-10-07T05:31:00Z</dcterms:modified>
</cp:coreProperties>
</file>