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1" w:rsidRPr="002D6B0A" w:rsidRDefault="00E04CC1" w:rsidP="00E04CC1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2D6B0A">
        <w:rPr>
          <w:b/>
          <w:sz w:val="28"/>
          <w:szCs w:val="28"/>
          <w:lang w:val="uk-UA"/>
        </w:rPr>
        <w:t>Базарова</w:t>
      </w:r>
      <w:proofErr w:type="spellEnd"/>
      <w:r w:rsidRPr="002D6B0A">
        <w:rPr>
          <w:b/>
          <w:sz w:val="28"/>
          <w:szCs w:val="28"/>
          <w:lang w:val="uk-UA"/>
        </w:rPr>
        <w:t xml:space="preserve"> Г.</w:t>
      </w:r>
    </w:p>
    <w:p w:rsidR="00E04CC1" w:rsidRPr="00E04CC1" w:rsidRDefault="00E04CC1" w:rsidP="00E04CC1">
      <w:pPr>
        <w:ind w:firstLine="720"/>
        <w:jc w:val="both"/>
        <w:rPr>
          <w:b/>
          <w:sz w:val="28"/>
          <w:szCs w:val="28"/>
        </w:rPr>
      </w:pPr>
      <w:r w:rsidRPr="008D1FB7">
        <w:rPr>
          <w:b/>
          <w:sz w:val="28"/>
          <w:szCs w:val="28"/>
        </w:rPr>
        <w:t xml:space="preserve">КОНТРОЛЬ И ЗАГРЯЗНЕНИЕ ПОЧВ НЕФТЬЮ И </w:t>
      </w:r>
      <w:proofErr w:type="gramStart"/>
      <w:r w:rsidRPr="008D1FB7">
        <w:rPr>
          <w:b/>
          <w:sz w:val="28"/>
          <w:szCs w:val="28"/>
        </w:rPr>
        <w:t>НЕФТЕПРО</w:t>
      </w:r>
      <w:r>
        <w:rPr>
          <w:b/>
          <w:sz w:val="28"/>
          <w:szCs w:val="28"/>
        </w:rPr>
        <w:t>-</w:t>
      </w:r>
      <w:r w:rsidRPr="008D1FB7">
        <w:rPr>
          <w:b/>
          <w:sz w:val="28"/>
          <w:szCs w:val="28"/>
        </w:rPr>
        <w:t>ДУКТАМИ</w:t>
      </w:r>
      <w:proofErr w:type="gramEnd"/>
    </w:p>
    <w:p w:rsidR="00E04CC1" w:rsidRPr="00E04CC1" w:rsidRDefault="00E04CC1" w:rsidP="00E04CC1">
      <w:pPr>
        <w:ind w:firstLine="720"/>
        <w:jc w:val="both"/>
        <w:rPr>
          <w:sz w:val="28"/>
          <w:szCs w:val="28"/>
        </w:rPr>
      </w:pPr>
    </w:p>
    <w:p w:rsidR="00E04CC1" w:rsidRPr="00DD012A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DD012A">
        <w:rPr>
          <w:color w:val="000000"/>
          <w:sz w:val="28"/>
          <w:szCs w:val="28"/>
        </w:rPr>
        <w:t xml:space="preserve">Главные потенциальные источники загрязнения природной среды нефтью и нефтепродуктами </w:t>
      </w:r>
      <w:r>
        <w:rPr>
          <w:color w:val="000000"/>
          <w:sz w:val="28"/>
          <w:szCs w:val="28"/>
        </w:rPr>
        <w:t>и их х</w:t>
      </w:r>
      <w:r w:rsidRPr="00DD012A">
        <w:rPr>
          <w:color w:val="000000"/>
          <w:sz w:val="28"/>
          <w:szCs w:val="28"/>
        </w:rPr>
        <w:t xml:space="preserve">арактеристика </w:t>
      </w:r>
      <w:r>
        <w:rPr>
          <w:color w:val="000000"/>
          <w:sz w:val="28"/>
          <w:szCs w:val="28"/>
        </w:rPr>
        <w:t>приведены</w:t>
      </w:r>
      <w:r w:rsidRPr="00DD012A">
        <w:rPr>
          <w:color w:val="000000"/>
          <w:sz w:val="28"/>
          <w:szCs w:val="28"/>
        </w:rPr>
        <w:t xml:space="preserve"> в </w:t>
      </w:r>
      <w:r>
        <w:rPr>
          <w:color w:val="000000"/>
          <w:sz w:val="28"/>
          <w:szCs w:val="28"/>
        </w:rPr>
        <w:t>табл.1.</w:t>
      </w:r>
    </w:p>
    <w:p w:rsidR="00E04CC1" w:rsidRPr="00E04CC1" w:rsidRDefault="00E04CC1" w:rsidP="00E04CC1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DD012A">
        <w:rPr>
          <w:b/>
          <w:color w:val="000000"/>
          <w:sz w:val="28"/>
          <w:szCs w:val="28"/>
        </w:rPr>
        <w:t>Таблица 1. Главные потенциальные источники загрязнения природной среды нефтью и нефтепродуктами</w:t>
      </w:r>
    </w:p>
    <w:p w:rsidR="00E04CC1" w:rsidRPr="00E04CC1" w:rsidRDefault="00E04CC1" w:rsidP="00E04CC1">
      <w:pPr>
        <w:spacing w:before="120" w:after="120"/>
        <w:jc w:val="center"/>
        <w:rPr>
          <w:rFonts w:ascii="Courier New" w:hAnsi="Courier New" w:cs="Courier New"/>
          <w:b/>
          <w:color w:val="000000"/>
          <w:sz w:val="16"/>
          <w:szCs w:val="16"/>
        </w:rPr>
      </w:pP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2212"/>
        <w:gridCol w:w="3072"/>
        <w:gridCol w:w="2543"/>
      </w:tblGrid>
      <w:tr w:rsidR="00E04CC1" w:rsidRPr="00A92369" w:rsidTr="009A1186">
        <w:trPr>
          <w:tblHeader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CC1" w:rsidRPr="00A92369" w:rsidRDefault="00E04CC1" w:rsidP="009A1186">
            <w:pPr>
              <w:jc w:val="center"/>
              <w:rPr>
                <w:b/>
              </w:rPr>
            </w:pPr>
            <w:bookmarkStart w:id="0" w:name="i87479"/>
            <w:r w:rsidRPr="00A92369">
              <w:rPr>
                <w:b/>
              </w:rPr>
              <w:t>Предприятия и сооружения</w:t>
            </w:r>
            <w:bookmarkEnd w:id="0"/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CC1" w:rsidRPr="00A92369" w:rsidRDefault="00E04CC1" w:rsidP="009A1186">
            <w:pPr>
              <w:jc w:val="center"/>
              <w:rPr>
                <w:b/>
              </w:rPr>
            </w:pPr>
            <w:r w:rsidRPr="00A92369">
              <w:rPr>
                <w:b/>
              </w:rPr>
              <w:t>Источник загрязнения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CC1" w:rsidRPr="00A92369" w:rsidRDefault="00E04CC1" w:rsidP="009A1186">
            <w:pPr>
              <w:jc w:val="center"/>
              <w:rPr>
                <w:b/>
              </w:rPr>
            </w:pPr>
            <w:r w:rsidRPr="00A92369">
              <w:rPr>
                <w:b/>
              </w:rPr>
              <w:t>Основные причины загрязнений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CC1" w:rsidRPr="00A92369" w:rsidRDefault="00E04CC1" w:rsidP="009A1186">
            <w:pPr>
              <w:jc w:val="center"/>
              <w:rPr>
                <w:b/>
              </w:rPr>
            </w:pPr>
            <w:r w:rsidRPr="00A92369">
              <w:rPr>
                <w:b/>
              </w:rPr>
              <w:t>Вещества, загрязняющие природную среду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Нефтепромысел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Скважины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Стравливание во время ремонта, </w:t>
            </w:r>
            <w:proofErr w:type="spellStart"/>
            <w:proofErr w:type="gramStart"/>
            <w:r w:rsidRPr="00A92369">
              <w:rPr>
                <w:color w:val="000000"/>
              </w:rPr>
              <w:t>на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рушение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герметич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ности</w:t>
            </w:r>
            <w:proofErr w:type="spellEnd"/>
            <w:r w:rsidRPr="00A92369">
              <w:rPr>
                <w:color w:val="000000"/>
              </w:rPr>
              <w:t>, арматуры, аварийные выбросы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Сырая нефть, </w:t>
            </w:r>
            <w:proofErr w:type="spellStart"/>
            <w:proofErr w:type="gramStart"/>
            <w:r w:rsidRPr="00A92369">
              <w:rPr>
                <w:color w:val="000000"/>
              </w:rPr>
              <w:t>то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варная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нефть, минерализованные воды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Трубопроводы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Коррозия и </w:t>
            </w:r>
            <w:proofErr w:type="spellStart"/>
            <w:proofErr w:type="gramStart"/>
            <w:r w:rsidRPr="00A92369">
              <w:rPr>
                <w:color w:val="000000"/>
              </w:rPr>
              <w:t>механи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ческие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повреждения труб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proofErr w:type="spellStart"/>
            <w:r w:rsidRPr="00A92369">
              <w:rPr>
                <w:color w:val="000000"/>
              </w:rPr>
              <w:t>NaCl</w:t>
            </w:r>
            <w:proofErr w:type="spellEnd"/>
            <w:r w:rsidRPr="00A92369">
              <w:rPr>
                <w:color w:val="000000"/>
              </w:rPr>
              <w:t>, CaSO</w:t>
            </w:r>
            <w:r w:rsidRPr="00A92369">
              <w:rPr>
                <w:color w:val="000000"/>
                <w:vertAlign w:val="subscript"/>
              </w:rPr>
              <w:t>4</w:t>
            </w:r>
            <w:r w:rsidRPr="00A92369">
              <w:rPr>
                <w:color w:val="000000"/>
              </w:rPr>
              <w:t> и др.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Сборные пункты, нефтехранилища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Испарение </w:t>
            </w:r>
            <w:proofErr w:type="spellStart"/>
            <w:proofErr w:type="gramStart"/>
            <w:r w:rsidRPr="00A92369">
              <w:rPr>
                <w:color w:val="000000"/>
              </w:rPr>
              <w:t>углево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дородов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в </w:t>
            </w:r>
            <w:proofErr w:type="spellStart"/>
            <w:r w:rsidRPr="00A92369">
              <w:rPr>
                <w:color w:val="000000"/>
              </w:rPr>
              <w:t>атмосфе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ру</w:t>
            </w:r>
            <w:proofErr w:type="spellEnd"/>
            <w:r w:rsidRPr="00A92369">
              <w:rPr>
                <w:color w:val="000000"/>
              </w:rPr>
              <w:t xml:space="preserve">, утечки в </w:t>
            </w:r>
            <w:proofErr w:type="spellStart"/>
            <w:r w:rsidRPr="00A92369">
              <w:rPr>
                <w:color w:val="000000"/>
              </w:rPr>
              <w:t>резуль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тате</w:t>
            </w:r>
            <w:proofErr w:type="spellEnd"/>
            <w:r w:rsidRPr="00A92369">
              <w:rPr>
                <w:color w:val="000000"/>
              </w:rPr>
              <w:t xml:space="preserve"> нарушения </w:t>
            </w:r>
            <w:proofErr w:type="spellStart"/>
            <w:r w:rsidRPr="00A92369">
              <w:rPr>
                <w:color w:val="000000"/>
              </w:rPr>
              <w:t>гер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метичности</w:t>
            </w:r>
            <w:proofErr w:type="spell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емко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стей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Конденсаты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Пункты первичной подготовки нефти</w:t>
            </w:r>
          </w:p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Факелы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То же, что на </w:t>
            </w:r>
            <w:proofErr w:type="spellStart"/>
            <w:proofErr w:type="gramStart"/>
            <w:r w:rsidRPr="00A92369">
              <w:rPr>
                <w:color w:val="000000"/>
              </w:rPr>
              <w:t>сбор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ных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пунктах и </w:t>
            </w:r>
            <w:proofErr w:type="spellStart"/>
            <w:r w:rsidRPr="00A92369">
              <w:rPr>
                <w:color w:val="000000"/>
              </w:rPr>
              <w:t>тру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бопроводах</w:t>
            </w:r>
            <w:proofErr w:type="spellEnd"/>
            <w:r w:rsidRPr="00A92369">
              <w:rPr>
                <w:color w:val="000000"/>
              </w:rPr>
              <w:t>; сброс сточных вод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Конденсаты, сажа, канцерогенные углеводороды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Неполное сгорание нефтепродуктов, </w:t>
            </w:r>
            <w:proofErr w:type="spellStart"/>
            <w:proofErr w:type="gramStart"/>
            <w:r w:rsidRPr="00A92369">
              <w:rPr>
                <w:color w:val="000000"/>
              </w:rPr>
              <w:t>ко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нденсация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стравле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нных</w:t>
            </w:r>
            <w:proofErr w:type="spellEnd"/>
            <w:r w:rsidRPr="00A92369">
              <w:rPr>
                <w:color w:val="000000"/>
              </w:rPr>
              <w:t xml:space="preserve"> в воздухе </w:t>
            </w:r>
            <w:proofErr w:type="spellStart"/>
            <w:r w:rsidRPr="00A92369">
              <w:rPr>
                <w:color w:val="000000"/>
              </w:rPr>
              <w:t>уг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леводородов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Конденсаты, сажа, канцерогенные углеводороды, сернистые соединения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Нефтепроводы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Нефтепроводы, нефтепродуктопроводы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proofErr w:type="gramStart"/>
            <w:r w:rsidRPr="00A92369">
              <w:rPr>
                <w:color w:val="000000"/>
              </w:rPr>
              <w:t>Механические</w:t>
            </w:r>
            <w:proofErr w:type="gram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пов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реждения</w:t>
            </w:r>
            <w:proofErr w:type="spellEnd"/>
            <w:r w:rsidRPr="00A92369">
              <w:rPr>
                <w:color w:val="000000"/>
              </w:rPr>
              <w:t xml:space="preserve"> труб, </w:t>
            </w:r>
            <w:proofErr w:type="spellStart"/>
            <w:r w:rsidRPr="00A92369">
              <w:rPr>
                <w:color w:val="000000"/>
              </w:rPr>
              <w:t>кор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розия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Товарная нефть (обезвоженная и обессоленная), жидкие нефтепродукты</w:t>
            </w:r>
          </w:p>
        </w:tc>
      </w:tr>
      <w:tr w:rsidR="00E04CC1" w:rsidRPr="00A92369" w:rsidTr="009A1186">
        <w:trPr>
          <w:trHeight w:val="900"/>
          <w:jc w:val="center"/>
        </w:trPr>
        <w:tc>
          <w:tcPr>
            <w:tcW w:w="9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Нефтеперерабатывающие заводы, нефтехранилища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Очистные сооружения, канализация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Аварии, </w:t>
            </w:r>
            <w:proofErr w:type="spellStart"/>
            <w:proofErr w:type="gramStart"/>
            <w:r w:rsidRPr="00A92369">
              <w:rPr>
                <w:color w:val="000000"/>
              </w:rPr>
              <w:t>разгерме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тизация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соединений трубопроводов, </w:t>
            </w:r>
            <w:proofErr w:type="spellStart"/>
            <w:r w:rsidRPr="00A92369">
              <w:rPr>
                <w:color w:val="000000"/>
              </w:rPr>
              <w:t>ис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парение</w:t>
            </w:r>
            <w:proofErr w:type="spell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нефтепро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дуктов</w:t>
            </w:r>
            <w:proofErr w:type="spellEnd"/>
            <w:r w:rsidRPr="00A92369">
              <w:rPr>
                <w:color w:val="000000"/>
              </w:rPr>
              <w:t xml:space="preserve"> в атмосферу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Сточные воды с нефтью и </w:t>
            </w:r>
            <w:proofErr w:type="spellStart"/>
            <w:proofErr w:type="gramStart"/>
            <w:r w:rsidRPr="00A92369">
              <w:rPr>
                <w:color w:val="000000"/>
              </w:rPr>
              <w:t>нефте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продуктами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(от 100 до 15000 мг/л)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Резервуары для хранения нефтепродуктов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Выбросы в </w:t>
            </w:r>
            <w:proofErr w:type="spellStart"/>
            <w:proofErr w:type="gramStart"/>
            <w:r w:rsidRPr="00A92369">
              <w:rPr>
                <w:color w:val="000000"/>
              </w:rPr>
              <w:t>атмо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сферу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через клапаны при избыточном давлении паров, </w:t>
            </w:r>
            <w:proofErr w:type="spellStart"/>
            <w:r w:rsidRPr="00A92369">
              <w:rPr>
                <w:color w:val="000000"/>
              </w:rPr>
              <w:t>на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рушение</w:t>
            </w:r>
            <w:proofErr w:type="spellEnd"/>
            <w:r w:rsidRPr="00A92369">
              <w:rPr>
                <w:color w:val="000000"/>
              </w:rPr>
              <w:t xml:space="preserve"> </w:t>
            </w:r>
            <w:proofErr w:type="spellStart"/>
            <w:r w:rsidRPr="00A92369">
              <w:rPr>
                <w:color w:val="000000"/>
              </w:rPr>
              <w:t>герметич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ности</w:t>
            </w:r>
            <w:proofErr w:type="spellEnd"/>
            <w:r w:rsidRPr="00A92369">
              <w:rPr>
                <w:color w:val="000000"/>
              </w:rPr>
              <w:t xml:space="preserve"> резервуаров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Легкие </w:t>
            </w:r>
            <w:proofErr w:type="spellStart"/>
            <w:proofErr w:type="gramStart"/>
            <w:r w:rsidRPr="00A92369">
              <w:rPr>
                <w:color w:val="000000"/>
              </w:rPr>
              <w:t>углево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дороды</w:t>
            </w:r>
            <w:proofErr w:type="spellEnd"/>
            <w:proofErr w:type="gramEnd"/>
            <w:r w:rsidRPr="00A92369">
              <w:rPr>
                <w:color w:val="000000"/>
              </w:rPr>
              <w:t>, мазуты, дизельные и другие топлива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Технологические установки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Выбросы через </w:t>
            </w:r>
            <w:proofErr w:type="spellStart"/>
            <w:proofErr w:type="gramStart"/>
            <w:r w:rsidRPr="00A92369">
              <w:rPr>
                <w:color w:val="000000"/>
              </w:rPr>
              <w:t>пре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дохранительные</w:t>
            </w:r>
            <w:proofErr w:type="spellEnd"/>
            <w:proofErr w:type="gramEnd"/>
            <w:r w:rsidRPr="00A92369">
              <w:rPr>
                <w:color w:val="000000"/>
              </w:rPr>
              <w:t xml:space="preserve"> клапаны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Углеводороды, сероводород</w:t>
            </w:r>
          </w:p>
        </w:tc>
      </w:tr>
      <w:tr w:rsidR="00E04CC1" w:rsidRPr="00A92369" w:rsidTr="009A1186">
        <w:trPr>
          <w:jc w:val="center"/>
        </w:trPr>
        <w:tc>
          <w:tcPr>
            <w:tcW w:w="9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C1" w:rsidRPr="00A92369" w:rsidRDefault="00E04CC1" w:rsidP="009A1186"/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>Факельные системы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Неполное сгорание углеводородов, </w:t>
            </w:r>
            <w:proofErr w:type="spellStart"/>
            <w:proofErr w:type="gramStart"/>
            <w:r w:rsidRPr="00A92369">
              <w:rPr>
                <w:color w:val="000000"/>
              </w:rPr>
              <w:t>се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роводорода</w:t>
            </w:r>
            <w:proofErr w:type="spellEnd"/>
            <w:proofErr w:type="gramEnd"/>
            <w:r w:rsidRPr="00A92369">
              <w:rPr>
                <w:color w:val="000000"/>
              </w:rPr>
              <w:t xml:space="preserve">, </w:t>
            </w:r>
            <w:proofErr w:type="spellStart"/>
            <w:r w:rsidRPr="00A92369">
              <w:rPr>
                <w:color w:val="000000"/>
              </w:rPr>
              <w:t>отсут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ствие</w:t>
            </w:r>
            <w:proofErr w:type="spellEnd"/>
            <w:r w:rsidRPr="00A92369">
              <w:rPr>
                <w:color w:val="000000"/>
              </w:rPr>
              <w:t xml:space="preserve"> пламени на факеле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CC1" w:rsidRPr="00A92369" w:rsidRDefault="00E04CC1" w:rsidP="009A1186">
            <w:pPr>
              <w:jc w:val="both"/>
            </w:pPr>
            <w:r w:rsidRPr="00A92369">
              <w:rPr>
                <w:color w:val="000000"/>
              </w:rPr>
              <w:t xml:space="preserve">Углеводороды, сероводород, </w:t>
            </w:r>
            <w:proofErr w:type="spellStart"/>
            <w:r w:rsidRPr="00A92369">
              <w:rPr>
                <w:color w:val="000000"/>
              </w:rPr>
              <w:t>оки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слы</w:t>
            </w:r>
            <w:proofErr w:type="spellEnd"/>
            <w:r w:rsidRPr="00A92369">
              <w:rPr>
                <w:color w:val="000000"/>
              </w:rPr>
              <w:t xml:space="preserve"> серы, </w:t>
            </w:r>
            <w:proofErr w:type="spellStart"/>
            <w:r w:rsidRPr="00A92369">
              <w:rPr>
                <w:color w:val="000000"/>
              </w:rPr>
              <w:t>угле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рода</w:t>
            </w:r>
            <w:proofErr w:type="spellEnd"/>
            <w:r w:rsidRPr="00A92369">
              <w:rPr>
                <w:color w:val="000000"/>
              </w:rPr>
              <w:t xml:space="preserve">, фенолы, </w:t>
            </w:r>
            <w:proofErr w:type="spellStart"/>
            <w:r w:rsidRPr="00A92369">
              <w:rPr>
                <w:color w:val="000000"/>
              </w:rPr>
              <w:t>бен</w:t>
            </w:r>
            <w:r>
              <w:rPr>
                <w:color w:val="000000"/>
              </w:rPr>
              <w:t>-</w:t>
            </w:r>
            <w:r w:rsidRPr="00A92369">
              <w:rPr>
                <w:color w:val="000000"/>
              </w:rPr>
              <w:t>зол</w:t>
            </w:r>
            <w:proofErr w:type="spellEnd"/>
            <w:r w:rsidRPr="00A92369">
              <w:rPr>
                <w:color w:val="000000"/>
              </w:rPr>
              <w:t xml:space="preserve">, </w:t>
            </w:r>
            <w:proofErr w:type="spellStart"/>
            <w:r w:rsidRPr="00A92369">
              <w:rPr>
                <w:color w:val="000000"/>
              </w:rPr>
              <w:t>бен</w:t>
            </w:r>
            <w:proofErr w:type="gramStart"/>
            <w:r w:rsidRPr="00A92369">
              <w:rPr>
                <w:color w:val="000000"/>
              </w:rPr>
              <w:t>з</w:t>
            </w:r>
            <w:proofErr w:type="spellEnd"/>
            <w:r w:rsidRPr="00A92369">
              <w:rPr>
                <w:color w:val="000000"/>
              </w:rPr>
              <w:t>(</w:t>
            </w:r>
            <w:proofErr w:type="gramEnd"/>
            <w:r w:rsidRPr="00A92369">
              <w:rPr>
                <w:color w:val="000000"/>
              </w:rPr>
              <w:t>а)</w:t>
            </w:r>
            <w:proofErr w:type="spellStart"/>
            <w:r w:rsidRPr="00A92369">
              <w:rPr>
                <w:color w:val="000000"/>
              </w:rPr>
              <w:t>пирен</w:t>
            </w:r>
            <w:proofErr w:type="spellEnd"/>
          </w:p>
        </w:tc>
      </w:tr>
    </w:tbl>
    <w:p w:rsidR="00E04CC1" w:rsidRPr="00E04CC1" w:rsidRDefault="00E04CC1" w:rsidP="00E04CC1">
      <w:pPr>
        <w:ind w:firstLine="720"/>
        <w:jc w:val="both"/>
        <w:rPr>
          <w:b/>
          <w:i/>
          <w:sz w:val="28"/>
          <w:szCs w:val="28"/>
        </w:rPr>
      </w:pPr>
      <w:bookmarkStart w:id="1" w:name="i96547"/>
    </w:p>
    <w:p w:rsidR="00E04CC1" w:rsidRPr="00A428BD" w:rsidRDefault="00E04CC1" w:rsidP="00E04CC1">
      <w:pPr>
        <w:jc w:val="center"/>
        <w:rPr>
          <w:b/>
          <w:i/>
          <w:iCs/>
          <w:u w:val="single"/>
        </w:rPr>
      </w:pPr>
      <w:r w:rsidRPr="007E3C86">
        <w:rPr>
          <w:b/>
          <w:i/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E04CC1" w:rsidRPr="00A428BD" w:rsidRDefault="00E04CC1" w:rsidP="00E04CC1">
      <w:pPr>
        <w:jc w:val="center"/>
        <w:rPr>
          <w:b/>
          <w:u w:val="single"/>
        </w:rPr>
      </w:pPr>
    </w:p>
    <w:p w:rsidR="00E04CC1" w:rsidRPr="00A92369" w:rsidRDefault="00E04CC1" w:rsidP="00E04CC1">
      <w:pPr>
        <w:ind w:firstLine="720"/>
        <w:jc w:val="both"/>
        <w:rPr>
          <w:sz w:val="28"/>
          <w:szCs w:val="28"/>
        </w:rPr>
      </w:pPr>
      <w:r w:rsidRPr="00A92369">
        <w:rPr>
          <w:b/>
          <w:i/>
          <w:sz w:val="28"/>
          <w:szCs w:val="28"/>
        </w:rPr>
        <w:t xml:space="preserve">Обследование </w:t>
      </w:r>
      <w:r w:rsidRPr="00A92369">
        <w:rPr>
          <w:b/>
          <w:i/>
          <w:color w:val="000000"/>
          <w:sz w:val="28"/>
          <w:szCs w:val="28"/>
        </w:rPr>
        <w:t>мест</w:t>
      </w:r>
      <w:r w:rsidRPr="00A92369">
        <w:rPr>
          <w:b/>
          <w:i/>
          <w:sz w:val="28"/>
          <w:szCs w:val="28"/>
        </w:rPr>
        <w:t xml:space="preserve"> </w:t>
      </w:r>
      <w:proofErr w:type="spellStart"/>
      <w:r w:rsidRPr="001F096C">
        <w:rPr>
          <w:b/>
          <w:i/>
          <w:sz w:val="28"/>
          <w:szCs w:val="28"/>
        </w:rPr>
        <w:t>импактного</w:t>
      </w:r>
      <w:proofErr w:type="spellEnd"/>
      <w:r w:rsidRPr="001F096C">
        <w:rPr>
          <w:b/>
          <w:i/>
          <w:sz w:val="28"/>
          <w:szCs w:val="28"/>
        </w:rPr>
        <w:t xml:space="preserve"> загрязнения почв</w:t>
      </w:r>
      <w:r w:rsidRPr="00A92369">
        <w:rPr>
          <w:b/>
          <w:i/>
          <w:sz w:val="28"/>
          <w:szCs w:val="28"/>
        </w:rPr>
        <w:t xml:space="preserve"> нефтью и</w:t>
      </w:r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A92369">
        <w:rPr>
          <w:b/>
          <w:i/>
          <w:sz w:val="28"/>
          <w:szCs w:val="28"/>
        </w:rPr>
        <w:t>нефте</w:t>
      </w:r>
      <w:r>
        <w:rPr>
          <w:b/>
          <w:i/>
          <w:sz w:val="28"/>
          <w:szCs w:val="28"/>
        </w:rPr>
        <w:t>-</w:t>
      </w:r>
      <w:r w:rsidRPr="00A92369">
        <w:rPr>
          <w:b/>
          <w:i/>
          <w:sz w:val="28"/>
          <w:szCs w:val="28"/>
        </w:rPr>
        <w:t>продуктами</w:t>
      </w:r>
      <w:bookmarkEnd w:id="1"/>
      <w:proofErr w:type="spellEnd"/>
      <w:proofErr w:type="gramEnd"/>
      <w:r w:rsidRPr="00A92369">
        <w:rPr>
          <w:b/>
          <w:i/>
          <w:sz w:val="28"/>
          <w:szCs w:val="28"/>
        </w:rPr>
        <w:t>.</w:t>
      </w:r>
      <w:r w:rsidRPr="00A92369">
        <w:rPr>
          <w:sz w:val="28"/>
          <w:szCs w:val="28"/>
        </w:rPr>
        <w:t xml:space="preserve"> Потоки нефти и нефтепродуктов в почвах могут быть видимыми и скрытыми (внутрипочвенными). Видимые потоки </w:t>
      </w:r>
      <w:proofErr w:type="spellStart"/>
      <w:r w:rsidRPr="00A92369">
        <w:rPr>
          <w:sz w:val="28"/>
          <w:szCs w:val="28"/>
        </w:rPr>
        <w:t>оконтуриваются</w:t>
      </w:r>
      <w:proofErr w:type="spellEnd"/>
      <w:r w:rsidRPr="00A92369">
        <w:rPr>
          <w:sz w:val="28"/>
          <w:szCs w:val="28"/>
        </w:rPr>
        <w:t xml:space="preserve"> визуально. В этих случаях источник загрязнения определяется без затруднений.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 xml:space="preserve">Скрытые потоки возникают чаще всего в результате аварий трубопроводов, проходящих на некоторой глубине от поверхности земли. Появление скрытых потоков нефти фиксируется по резкому увеличению содержания нефтепродуктов в грунтовых водах, находящихся поблизости от источника загрязнения, поверхностных водах (реках, ручьях, каналах, озерах, прудах). Внутрипочвенные потоки проявляют себя </w:t>
      </w:r>
      <w:proofErr w:type="spellStart"/>
      <w:r w:rsidRPr="00A92369">
        <w:rPr>
          <w:color w:val="000000"/>
          <w:sz w:val="28"/>
          <w:szCs w:val="28"/>
        </w:rPr>
        <w:t>высачиванием</w:t>
      </w:r>
      <w:proofErr w:type="spellEnd"/>
      <w:r w:rsidRPr="00A92369">
        <w:rPr>
          <w:color w:val="000000"/>
          <w:sz w:val="28"/>
          <w:szCs w:val="28"/>
        </w:rPr>
        <w:t xml:space="preserve"> нефти на склонах, стенках канав, кюветов. Скрытое загрязнение может быть зафиксировано по изменению растительного покрова: пожелтению травянистой растительности, засыханию деревьев и кустарников.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Для оконтуривания нефтяного потока по площади и по вертикали и для определения места разлива необходимо определить ландшафтно-геохимическу</w:t>
      </w:r>
      <w:r>
        <w:rPr>
          <w:color w:val="000000"/>
          <w:sz w:val="28"/>
          <w:szCs w:val="28"/>
        </w:rPr>
        <w:t>ю позицию исследуемого участка</w:t>
      </w:r>
      <w:r w:rsidRPr="00A92369">
        <w:rPr>
          <w:color w:val="000000"/>
          <w:sz w:val="28"/>
          <w:szCs w:val="28"/>
        </w:rPr>
        <w:t>: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 xml:space="preserve">1) тип элементарного ландшафта (автономный - на плоской возвышенности, </w:t>
      </w:r>
      <w:proofErr w:type="spellStart"/>
      <w:r w:rsidRPr="00A92369">
        <w:rPr>
          <w:color w:val="000000"/>
          <w:sz w:val="28"/>
          <w:szCs w:val="28"/>
        </w:rPr>
        <w:t>трансэлювиальный</w:t>
      </w:r>
      <w:proofErr w:type="spellEnd"/>
      <w:r w:rsidRPr="00A92369">
        <w:rPr>
          <w:color w:val="000000"/>
          <w:sz w:val="28"/>
          <w:szCs w:val="28"/>
        </w:rPr>
        <w:t xml:space="preserve"> - на склоне; элювиально-аккумулятивный - в небольших местных понижениях рельефа; </w:t>
      </w:r>
      <w:proofErr w:type="spellStart"/>
      <w:r w:rsidRPr="00A92369">
        <w:rPr>
          <w:color w:val="000000"/>
          <w:sz w:val="28"/>
          <w:szCs w:val="28"/>
        </w:rPr>
        <w:t>транссупераквальный</w:t>
      </w:r>
      <w:proofErr w:type="spellEnd"/>
      <w:r w:rsidRPr="00A92369">
        <w:rPr>
          <w:color w:val="000000"/>
          <w:sz w:val="28"/>
          <w:szCs w:val="28"/>
        </w:rPr>
        <w:t xml:space="preserve"> - подножие склона, поймы рек; </w:t>
      </w:r>
      <w:proofErr w:type="spellStart"/>
      <w:r w:rsidRPr="00A92369">
        <w:rPr>
          <w:color w:val="000000"/>
          <w:sz w:val="28"/>
          <w:szCs w:val="28"/>
        </w:rPr>
        <w:t>трансаквальный</w:t>
      </w:r>
      <w:proofErr w:type="spellEnd"/>
      <w:r w:rsidRPr="00A92369">
        <w:rPr>
          <w:color w:val="000000"/>
          <w:sz w:val="28"/>
          <w:szCs w:val="28"/>
        </w:rPr>
        <w:t xml:space="preserve"> - реки и другие водотоки);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2) типы геохимических сопряжений в местных ландшафтах, которые определяют характер перемещения вещества: соотношение бокового и вертикального стоков; формы миграции, характер геохимических и физических барьеров, задерживающих нефть на пути движения потока.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 xml:space="preserve">При определении типов сопряжении </w:t>
      </w:r>
      <w:proofErr w:type="gramStart"/>
      <w:r w:rsidRPr="00A92369">
        <w:rPr>
          <w:color w:val="000000"/>
          <w:sz w:val="28"/>
          <w:szCs w:val="28"/>
        </w:rPr>
        <w:t>важное значение</w:t>
      </w:r>
      <w:proofErr w:type="gramEnd"/>
      <w:r w:rsidRPr="00A92369">
        <w:rPr>
          <w:color w:val="000000"/>
          <w:sz w:val="28"/>
          <w:szCs w:val="28"/>
        </w:rPr>
        <w:t xml:space="preserve"> имеют:</w:t>
      </w:r>
    </w:p>
    <w:p w:rsidR="00E04CC1" w:rsidRPr="00E04CC1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 xml:space="preserve">а) глубина просачивания атмосферных вод; 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б) г</w:t>
      </w:r>
      <w:r>
        <w:rPr>
          <w:color w:val="000000"/>
          <w:sz w:val="28"/>
          <w:szCs w:val="28"/>
        </w:rPr>
        <w:t>лубина залегания грунтовых вод</w:t>
      </w:r>
      <w:r w:rsidRPr="00A92369">
        <w:rPr>
          <w:color w:val="000000"/>
          <w:sz w:val="28"/>
          <w:szCs w:val="28"/>
        </w:rPr>
        <w:t>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Исходя из данных, перечисленных в пунктах I, II закладывается серия почвенных разрезов (или ручных скважин). Количество разрезов зависит от сложности ландшафтной геохимической обстановки и нефтяного потока.</w:t>
      </w:r>
    </w:p>
    <w:p w:rsidR="00E04CC1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Почвенные разрезы (скважины) объединяются в систему профилей, протягивающихся в направлении движения поверхностного стока от места разлива до места промежуточной или конечной аккумуляции. Минимальное количество профилей - 3, минимальное количество разрезов - 12 (по 3 на каждом профиле и 3 фоновых по одному на каждый элементарный ландшафт). Почвенные разрезы разделяются на опорные и "приколки" (опытные образцы почв). Опорные разрезы закладываются вблизи места разлива и на основных элементах ландшафтно-геохимического профиля. Цель изучения таких разрезов - определить глубину просачивания нефти, наличие внутрипочвенного потока, характер трансформации почвенного профиля.</w:t>
      </w:r>
      <w:r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>Изучение опорного почвенного разреза проводится так же, как и при контроле загрязне</w:t>
      </w:r>
      <w:r>
        <w:rPr>
          <w:color w:val="000000"/>
          <w:sz w:val="28"/>
          <w:szCs w:val="28"/>
        </w:rPr>
        <w:t>ния пестицидами</w:t>
      </w:r>
      <w:r w:rsidRPr="00A923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>Разрез закладывается приблизительно следующих размеров:</w:t>
      </w:r>
      <w:r w:rsidRPr="007E3C86"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 xml:space="preserve">ширина короткой стенки </w:t>
      </w:r>
      <w:smartTag w:uri="urn:schemas-microsoft-com:office:smarttags" w:element="metricconverter">
        <w:smartTagPr>
          <w:attr w:name="ProductID" w:val="0,8 м"/>
        </w:smartTagPr>
        <w:r w:rsidRPr="00A92369">
          <w:rPr>
            <w:color w:val="000000"/>
            <w:sz w:val="28"/>
            <w:szCs w:val="28"/>
          </w:rPr>
          <w:t>0,8 м</w:t>
        </w:r>
      </w:smartTag>
      <w:r w:rsidRPr="00A92369">
        <w:rPr>
          <w:color w:val="000000"/>
          <w:sz w:val="28"/>
          <w:szCs w:val="28"/>
        </w:rPr>
        <w:t xml:space="preserve">, длинной стенки - </w:t>
      </w:r>
      <w:smartTag w:uri="urn:schemas-microsoft-com:office:smarttags" w:element="metricconverter">
        <w:smartTagPr>
          <w:attr w:name="ProductID" w:val="1,5 м"/>
        </w:smartTagPr>
        <w:r w:rsidRPr="00A92369">
          <w:rPr>
            <w:color w:val="000000"/>
            <w:sz w:val="28"/>
            <w:szCs w:val="28"/>
          </w:rPr>
          <w:t>1,5 м</w:t>
        </w:r>
      </w:smartTag>
      <w:r w:rsidRPr="00A92369">
        <w:rPr>
          <w:color w:val="000000"/>
          <w:sz w:val="28"/>
          <w:szCs w:val="28"/>
        </w:rPr>
        <w:t xml:space="preserve">, глубина </w:t>
      </w:r>
      <w:smartTag w:uri="urn:schemas-microsoft-com:office:smarttags" w:element="metricconverter">
        <w:smartTagPr>
          <w:attr w:name="ProductID" w:val="2,0 м"/>
        </w:smartTagPr>
        <w:r w:rsidRPr="00A92369">
          <w:rPr>
            <w:color w:val="000000"/>
            <w:sz w:val="28"/>
            <w:szCs w:val="28"/>
          </w:rPr>
          <w:t>2,0 м</w:t>
        </w:r>
      </w:smartTag>
      <w:r w:rsidRPr="00A92369">
        <w:rPr>
          <w:color w:val="000000"/>
          <w:sz w:val="28"/>
          <w:szCs w:val="28"/>
        </w:rPr>
        <w:t xml:space="preserve"> (если не вскрыты на меньшей глубине грунтовые воды). </w:t>
      </w:r>
    </w:p>
    <w:p w:rsidR="00E04CC1" w:rsidRPr="00A428BD" w:rsidRDefault="00E04CC1" w:rsidP="00E04CC1">
      <w:pPr>
        <w:jc w:val="center"/>
        <w:rPr>
          <w:b/>
          <w:i/>
          <w:iCs/>
          <w:u w:val="single"/>
        </w:rPr>
      </w:pPr>
      <w:r>
        <w:rPr>
          <w:color w:val="000000"/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E04CC1" w:rsidRPr="00A428BD" w:rsidRDefault="00E04CC1" w:rsidP="00E04CC1">
      <w:pPr>
        <w:jc w:val="center"/>
        <w:rPr>
          <w:b/>
          <w:u w:val="single"/>
        </w:rPr>
      </w:pP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Располагается разрез так, чтобы лицевая короткая стенка была освещена солнцем. Почву выбрасывают на длинные боковые стенки: верхние горизонты - в одну сторону, нижние - в другую. На лицевой стенке производят отбор проб и по ней - описание почвы. Стенка зачищается, вдоль нее спускается сантиметр, по которому отмечаются глубины взятия проб и границы почвенных горизонтов. Отбор проб начинают с нижних горизонтов. Образец берется размером 10</w:t>
      </w:r>
      <w:r>
        <w:rPr>
          <w:color w:val="000000"/>
          <w:sz w:val="28"/>
          <w:szCs w:val="28"/>
        </w:rPr>
        <w:t>•</w:t>
      </w:r>
      <w:r w:rsidRPr="00A92369">
        <w:rPr>
          <w:color w:val="000000"/>
          <w:sz w:val="28"/>
          <w:szCs w:val="28"/>
        </w:rPr>
        <w:t>10 см, а если мощность горизонта меньше, то на всю мощность.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Пробы берутся с помощью почвенного ножа. После взятия каждой пробы нож очищается от нефтепродуктов тампоном, смоченным в органическом растворителе.</w:t>
      </w:r>
      <w:r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 xml:space="preserve">Перед взятием образцов проводится описание ландшафта и почвенных горизонтов (цвет, влажность, структура, плотность, механический состав, новообразования, включения, корневая система, </w:t>
      </w:r>
      <w:proofErr w:type="spellStart"/>
      <w:r w:rsidRPr="00A92369">
        <w:rPr>
          <w:color w:val="000000"/>
          <w:sz w:val="28"/>
          <w:szCs w:val="28"/>
        </w:rPr>
        <w:t>карбонатность</w:t>
      </w:r>
      <w:proofErr w:type="spellEnd"/>
      <w:r w:rsidRPr="00A9236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 xml:space="preserve">Если выделение генетических горизонтов почв вызывает затруднение, пробы необходимо отбирать через </w:t>
      </w:r>
      <w:smartTag w:uri="urn:schemas-microsoft-com:office:smarttags" w:element="metricconverter">
        <w:smartTagPr>
          <w:attr w:name="ProductID" w:val="20 см"/>
        </w:smartTagPr>
        <w:r w:rsidRPr="00A92369">
          <w:rPr>
            <w:color w:val="000000"/>
            <w:sz w:val="28"/>
            <w:szCs w:val="28"/>
          </w:rPr>
          <w:t>20 см</w:t>
        </w:r>
      </w:smartTag>
      <w:r w:rsidRPr="00A92369">
        <w:rPr>
          <w:color w:val="000000"/>
          <w:sz w:val="28"/>
          <w:szCs w:val="28"/>
        </w:rPr>
        <w:t>, сопровождая их подробным описанием.</w:t>
      </w:r>
      <w:r>
        <w:rPr>
          <w:color w:val="000000"/>
          <w:sz w:val="28"/>
          <w:szCs w:val="28"/>
        </w:rPr>
        <w:t xml:space="preserve"> </w:t>
      </w:r>
      <w:r w:rsidRPr="00A92369">
        <w:rPr>
          <w:color w:val="000000"/>
          <w:sz w:val="28"/>
          <w:szCs w:val="28"/>
        </w:rPr>
        <w:t>"</w:t>
      </w:r>
      <w:proofErr w:type="spellStart"/>
      <w:r w:rsidRPr="00A92369">
        <w:rPr>
          <w:color w:val="000000"/>
          <w:sz w:val="28"/>
          <w:szCs w:val="28"/>
        </w:rPr>
        <w:t>Прикопки</w:t>
      </w:r>
      <w:proofErr w:type="spellEnd"/>
      <w:r w:rsidRPr="00A92369">
        <w:rPr>
          <w:color w:val="000000"/>
          <w:sz w:val="28"/>
          <w:szCs w:val="28"/>
        </w:rPr>
        <w:t>" для взятия почвенных образцов отрываются на глубину нижнего фронта движения нефтяного потока в почве, которую можно обычно определить по опорному разрезу.</w:t>
      </w:r>
    </w:p>
    <w:p w:rsidR="00E04CC1" w:rsidRPr="00A92369" w:rsidRDefault="00E04CC1" w:rsidP="00E04CC1">
      <w:pPr>
        <w:ind w:firstLine="720"/>
        <w:jc w:val="both"/>
        <w:rPr>
          <w:color w:val="000000"/>
          <w:sz w:val="28"/>
          <w:szCs w:val="28"/>
        </w:rPr>
      </w:pPr>
      <w:r w:rsidRPr="00A92369">
        <w:rPr>
          <w:color w:val="000000"/>
          <w:sz w:val="28"/>
          <w:szCs w:val="28"/>
        </w:rPr>
        <w:t>Необходимо иметь в виду, что, если поверхность почвы или ее верхние горизонты не содержат видимых загрязнений, это не значит, что загрязнения в этом почвенном профиле отсутствуют. Нефть и нефтепродукты могут двигаться и длительное время сохраняться на глубинах 0,5-</w:t>
      </w:r>
      <w:smartTag w:uri="urn:schemas-microsoft-com:office:smarttags" w:element="metricconverter">
        <w:smartTagPr>
          <w:attr w:name="ProductID" w:val="1,0 м"/>
        </w:smartTagPr>
        <w:r w:rsidRPr="00A92369">
          <w:rPr>
            <w:color w:val="000000"/>
            <w:sz w:val="28"/>
            <w:szCs w:val="28"/>
          </w:rPr>
          <w:t>1,0 м</w:t>
        </w:r>
      </w:smartTag>
      <w:r w:rsidRPr="00A92369">
        <w:rPr>
          <w:color w:val="000000"/>
          <w:sz w:val="28"/>
          <w:szCs w:val="28"/>
        </w:rPr>
        <w:t xml:space="preserve"> и более под относительно плотными и мало загрязненными верхними горизонтами разреза. Поэтому изучение опорных разрезов при контроле загрязнения почв нефтью и нефтепродуктами обязательно.</w:t>
      </w:r>
    </w:p>
    <w:p w:rsidR="00E04CC1" w:rsidRDefault="00E04CC1" w:rsidP="00E04CC1">
      <w:pPr>
        <w:ind w:firstLine="720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A92369">
        <w:rPr>
          <w:color w:val="000000"/>
          <w:sz w:val="28"/>
          <w:szCs w:val="28"/>
        </w:rPr>
        <w:t>Вследствие сильного варьирования состава и свойств почвы даже в пределах профиля с лицевой стороны разреза по горизонтали берется 5-8 проб для составления смешанного почвенного образца. Общий вес смешанного образца 0,6-</w:t>
      </w:r>
      <w:smartTag w:uri="urn:schemas-microsoft-com:office:smarttags" w:element="metricconverter">
        <w:smartTagPr>
          <w:attr w:name="ProductID" w:val="0,8 кг"/>
        </w:smartTagPr>
        <w:r w:rsidRPr="00A92369">
          <w:rPr>
            <w:color w:val="000000"/>
            <w:sz w:val="28"/>
            <w:szCs w:val="28"/>
          </w:rPr>
          <w:t xml:space="preserve">0,8 </w:t>
        </w:r>
        <w:r w:rsidRPr="00AB7BBA">
          <w:rPr>
            <w:color w:val="000000"/>
            <w:sz w:val="28"/>
            <w:szCs w:val="28"/>
          </w:rPr>
          <w:t>кг</w:t>
        </w:r>
      </w:smartTag>
      <w:r>
        <w:rPr>
          <w:color w:val="000000"/>
        </w:rPr>
        <w:t>.</w:t>
      </w: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E04CC1" w:rsidRDefault="00E04CC1" w:rsidP="00E04CC1">
      <w:pPr>
        <w:shd w:val="clear" w:color="000000" w:fill="auto"/>
        <w:suppressAutoHyphens/>
        <w:ind w:firstLine="360"/>
        <w:jc w:val="both"/>
        <w:rPr>
          <w:sz w:val="28"/>
          <w:szCs w:val="28"/>
        </w:rPr>
      </w:pPr>
    </w:p>
    <w:p w:rsidR="00E04CC1" w:rsidRPr="00886D8C" w:rsidRDefault="00E04CC1" w:rsidP="00E04CC1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D15BB4" w:rsidRDefault="00E04CC1" w:rsidP="00E04CC1">
      <w:pPr>
        <w:ind w:firstLine="540"/>
        <w:jc w:val="center"/>
      </w:pPr>
      <w:proofErr w:type="gramStart"/>
      <w:r w:rsidRPr="0050775B">
        <w:rPr>
          <w:sz w:val="28"/>
          <w:szCs w:val="28"/>
        </w:rPr>
        <w:t xml:space="preserve">Работа выполнена под руководством </w:t>
      </w:r>
      <w:r>
        <w:rPr>
          <w:sz w:val="28"/>
          <w:szCs w:val="28"/>
        </w:rPr>
        <w:t xml:space="preserve">д.т.н., проф. </w:t>
      </w:r>
      <w:proofErr w:type="spellStart"/>
      <w:r>
        <w:rPr>
          <w:sz w:val="28"/>
          <w:szCs w:val="28"/>
        </w:rPr>
        <w:t>Илюхи</w:t>
      </w:r>
      <w:proofErr w:type="spellEnd"/>
      <w:r>
        <w:rPr>
          <w:sz w:val="28"/>
          <w:szCs w:val="28"/>
        </w:rPr>
        <w:t xml:space="preserve"> Н.Г., </w:t>
      </w:r>
      <w:r w:rsidRPr="0050775B">
        <w:rPr>
          <w:sz w:val="28"/>
          <w:szCs w:val="28"/>
        </w:rPr>
        <w:t>к.х.н., доц. Цихановской И.В., к.х.н., доц. Александрова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асс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Барсовой</w:t>
      </w:r>
      <w:proofErr w:type="spellEnd"/>
      <w:r>
        <w:rPr>
          <w:sz w:val="28"/>
          <w:szCs w:val="28"/>
          <w:lang w:val="uk-UA"/>
        </w:rPr>
        <w:t xml:space="preserve"> З. В.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##Times New Roman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04CC1"/>
    <w:rsid w:val="0007502A"/>
    <w:rsid w:val="001F096C"/>
    <w:rsid w:val="00461127"/>
    <w:rsid w:val="00CA48FA"/>
    <w:rsid w:val="00D15BB4"/>
    <w:rsid w:val="00E0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1"/>
    <w:link w:val="a4"/>
    <w:qFormat/>
    <w:rsid w:val="00E04CC1"/>
    <w:pPr>
      <w:pBdr>
        <w:bottom w:val="double" w:sz="6" w:space="10" w:color="auto"/>
      </w:pBdr>
      <w:spacing w:after="240"/>
      <w:jc w:val="center"/>
    </w:pPr>
    <w:rPr>
      <w:rFonts w:ascii="##Times New Roman" w:eastAsia="##Times New Roman" w:hAnsi="##Times New Roman"/>
      <w:b/>
      <w:caps/>
      <w:spacing w:val="20"/>
      <w:sz w:val="32"/>
      <w:szCs w:val="20"/>
    </w:rPr>
  </w:style>
  <w:style w:type="character" w:customStyle="1" w:styleId="a4">
    <w:name w:val="Название Знак"/>
    <w:basedOn w:val="a0"/>
    <w:link w:val="a3"/>
    <w:rsid w:val="00E04CC1"/>
    <w:rPr>
      <w:rFonts w:ascii="##Times New Roman" w:eastAsia="##Times New Roman" w:hAnsi="##Times New Roman" w:cs="Times New Roman"/>
      <w:b/>
      <w:caps/>
      <w:spacing w:val="20"/>
      <w:sz w:val="32"/>
      <w:szCs w:val="20"/>
      <w:lang w:val="ru-RU"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E04CC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4414</Words>
  <Characters>2517</Characters>
  <Application>Microsoft Office Word</Application>
  <DocSecurity>0</DocSecurity>
  <Lines>20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2014-10-10T11:14:00Z</dcterms:created>
  <dcterms:modified xsi:type="dcterms:W3CDTF">2014-10-27T08:45:00Z</dcterms:modified>
</cp:coreProperties>
</file>