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5F" w:rsidRPr="00036E7A" w:rsidRDefault="006E595F" w:rsidP="006E595F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036E7A">
        <w:rPr>
          <w:b/>
          <w:sz w:val="28"/>
          <w:szCs w:val="28"/>
          <w:lang w:val="uk-UA"/>
        </w:rPr>
        <w:t>Лінік</w:t>
      </w:r>
      <w:proofErr w:type="spellEnd"/>
      <w:r w:rsidRPr="00036E7A">
        <w:rPr>
          <w:b/>
          <w:sz w:val="28"/>
          <w:szCs w:val="28"/>
          <w:lang w:val="uk-UA"/>
        </w:rPr>
        <w:t xml:space="preserve"> П.М.</w:t>
      </w:r>
    </w:p>
    <w:p w:rsidR="006E595F" w:rsidRPr="00036E7A" w:rsidRDefault="006E595F" w:rsidP="006E595F">
      <w:pPr>
        <w:ind w:firstLine="709"/>
        <w:jc w:val="both"/>
        <w:rPr>
          <w:b/>
          <w:sz w:val="28"/>
          <w:szCs w:val="28"/>
          <w:lang w:val="uk-UA"/>
        </w:rPr>
      </w:pPr>
      <w:r w:rsidRPr="00036E7A">
        <w:rPr>
          <w:b/>
          <w:sz w:val="28"/>
          <w:szCs w:val="28"/>
          <w:lang w:val="uk-UA"/>
        </w:rPr>
        <w:t>РОЗРАХУНОК МІЦНОСТІ ФРИКЦІЙНИХ КАНАТНИХ БАРАБАНІВ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У багатьох випадках довгий канат вантажопідіймальних машин під великим натягом вибирається за допомогою фрикційних барабанів і потім вже при малому натягненні збирається на барабанах-збірниках. 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У цьому випадку барабани навантажуються як і при звичайнім навиванні каната, але навантаження розподіляється лише на половинах направляючих кіл циліндричної оболонки барабана. 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Навантаження носить яскраво виражений локальний характер і мова йде про з’ясування напружено-деформованого стану циліндричної оболонки під дією такого роду навантажень. 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Переміщення та навантаження можуть бути представлені подвійними рядами Фур’є. Ці ряди підставляються в три спільних диференційних рівняння оболонки, які зводяться до системи трьох лінійних рівнянь відносно трьох переміщень для кожного з коефіцієнтів </w:t>
      </w:r>
      <w:r w:rsidRPr="00036E7A">
        <w:rPr>
          <w:position w:val="-12"/>
          <w:sz w:val="28"/>
          <w:szCs w:val="28"/>
          <w:lang w:val="uk-UA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pt;height:18.25pt" o:ole="">
            <v:imagedata r:id="rId4" o:title=""/>
          </v:shape>
          <o:OLEObject Type="Embed" ProgID="Equation.3" ShapeID="_x0000_i1025" DrawAspect="Content" ObjectID="_1471694218" r:id="rId5"/>
        </w:object>
      </w:r>
      <w:r w:rsidRPr="00036E7A">
        <w:rPr>
          <w:sz w:val="28"/>
          <w:szCs w:val="28"/>
          <w:lang w:val="uk-UA"/>
        </w:rPr>
        <w:t xml:space="preserve"> розкладення навантаження в ряд Фур’є. (</w:t>
      </w:r>
      <w:r w:rsidRPr="00036E7A">
        <w:rPr>
          <w:position w:val="-12"/>
          <w:sz w:val="28"/>
          <w:szCs w:val="28"/>
          <w:lang w:val="uk-UA"/>
        </w:rPr>
        <w:object w:dxaOrig="499" w:dyaOrig="380">
          <v:shape id="_x0000_i1026" type="#_x0000_t75" style="width:24.7pt;height:18.25pt" o:ole="">
            <v:imagedata r:id="rId6" o:title=""/>
          </v:shape>
          <o:OLEObject Type="Embed" ProgID="Equation.3" ShapeID="_x0000_i1026" DrawAspect="Content" ObjectID="_1471694219" r:id="rId7"/>
        </w:object>
      </w:r>
      <w:r w:rsidRPr="00036E7A">
        <w:rPr>
          <w:sz w:val="28"/>
          <w:szCs w:val="28"/>
          <w:lang w:val="uk-UA"/>
        </w:rPr>
        <w:t xml:space="preserve"> – коефіцієнт розкладення радіального навантаження ).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Для радіального та тангенціального навантажень також, як і для моменту відносно твірної, тобто такого, який діє в коловому напрямку, можна спочатку розглянути ефект від лінійного навантаження, що діє вздовж частини твірної, скажімо, </w:t>
      </w:r>
      <w:r w:rsidRPr="00036E7A">
        <w:rPr>
          <w:position w:val="-10"/>
          <w:sz w:val="28"/>
          <w:szCs w:val="28"/>
          <w:lang w:val="uk-UA"/>
        </w:rPr>
        <w:object w:dxaOrig="660" w:dyaOrig="340">
          <v:shape id="_x0000_i1027" type="#_x0000_t75" style="width:33.3pt;height:17.2pt" o:ole="">
            <v:imagedata r:id="rId8" o:title=""/>
          </v:shape>
          <o:OLEObject Type="Embed" ProgID="Equation.3" ShapeID="_x0000_i1027" DrawAspect="Content" ObjectID="_1471694220" r:id="rId9"/>
        </w:object>
      </w:r>
      <w:r w:rsidRPr="00036E7A">
        <w:rPr>
          <w:sz w:val="28"/>
          <w:szCs w:val="28"/>
          <w:lang w:val="uk-UA"/>
        </w:rPr>
        <w:t>.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Тоді вся оболонка, за виключенням нескінченно малої навантаженої поверхні, залишається ненавантаженою та диференційні рівняння стають однорідними. Ці однорідні рівняння можуть бути розв’язані, якщо розкласти переміщення в прості ряди Фур’є по координаті в напрямку осі </w:t>
      </w:r>
      <w:r w:rsidRPr="00036E7A">
        <w:rPr>
          <w:position w:val="-4"/>
          <w:sz w:val="28"/>
          <w:szCs w:val="28"/>
          <w:lang w:val="uk-UA"/>
        </w:rPr>
        <w:object w:dxaOrig="320" w:dyaOrig="279">
          <v:shape id="_x0000_i1028" type="#_x0000_t75" style="width:16.1pt;height:12.9pt" o:ole="">
            <v:imagedata r:id="rId10" o:title=""/>
          </v:shape>
          <o:OLEObject Type="Embed" ProgID="Equation.3" ShapeID="_x0000_i1028" DrawAspect="Content" ObjectID="_1471694221" r:id="rId11"/>
        </w:object>
      </w:r>
      <w:r w:rsidRPr="00036E7A">
        <w:rPr>
          <w:sz w:val="28"/>
          <w:szCs w:val="28"/>
          <w:lang w:val="uk-UA"/>
        </w:rPr>
        <w:t>.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Змінені рівняння можуть бути зведені до звичайного диференційного рівняння восьмого порядку відносно одного тільки </w:t>
      </w:r>
      <w:r w:rsidRPr="00036E7A">
        <w:rPr>
          <w:position w:val="-6"/>
          <w:sz w:val="28"/>
          <w:szCs w:val="28"/>
          <w:lang w:val="uk-UA"/>
        </w:rPr>
        <w:object w:dxaOrig="260" w:dyaOrig="240">
          <v:shape id="_x0000_i1029" type="#_x0000_t75" style="width:12.9pt;height:11.8pt" o:ole="">
            <v:imagedata r:id="rId12" o:title=""/>
          </v:shape>
          <o:OLEObject Type="Embed" ProgID="Equation.3" ShapeID="_x0000_i1029" DrawAspect="Content" ObjectID="_1471694222" r:id="rId13"/>
        </w:object>
      </w:r>
      <w:r w:rsidRPr="00036E7A">
        <w:rPr>
          <w:sz w:val="28"/>
          <w:szCs w:val="28"/>
          <w:lang w:val="uk-UA"/>
        </w:rPr>
        <w:t xml:space="preserve"> за допомогою </w:t>
      </w:r>
      <w:r>
        <w:rPr>
          <w:sz w:val="28"/>
          <w:szCs w:val="28"/>
          <w:lang w:val="uk-UA"/>
        </w:rPr>
        <w:t>перетворень</w:t>
      </w:r>
      <w:r w:rsidRPr="00036E7A">
        <w:rPr>
          <w:sz w:val="28"/>
          <w:szCs w:val="28"/>
          <w:lang w:val="uk-UA"/>
        </w:rPr>
        <w:t xml:space="preserve"> до декілька більш спрощених рівнянь.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Визначення виразів для коефіцієнтів </w:t>
      </w:r>
      <w:r w:rsidRPr="00036E7A">
        <w:rPr>
          <w:position w:val="-12"/>
          <w:sz w:val="28"/>
          <w:szCs w:val="28"/>
          <w:lang w:val="uk-UA"/>
        </w:rPr>
        <w:object w:dxaOrig="499" w:dyaOrig="380">
          <v:shape id="_x0000_i1030" type="#_x0000_t75" style="width:24.7pt;height:18.25pt" o:ole="">
            <v:imagedata r:id="rId14" o:title=""/>
          </v:shape>
          <o:OLEObject Type="Embed" ProgID="Equation.3" ShapeID="_x0000_i1030" DrawAspect="Content" ObjectID="_1471694223" r:id="rId15"/>
        </w:object>
      </w:r>
      <w:r w:rsidRPr="00036E7A">
        <w:rPr>
          <w:sz w:val="28"/>
          <w:szCs w:val="28"/>
          <w:lang w:val="uk-UA"/>
        </w:rPr>
        <w:t xml:space="preserve"> розкладення навантаження в ряд Фур’є Радіальне навантаження </w:t>
      </w:r>
      <w:r w:rsidRPr="00036E7A">
        <w:rPr>
          <w:position w:val="-12"/>
          <w:sz w:val="28"/>
          <w:szCs w:val="28"/>
          <w:lang w:val="uk-UA"/>
        </w:rPr>
        <w:object w:dxaOrig="260" w:dyaOrig="300">
          <v:shape id="_x0000_i1031" type="#_x0000_t75" style="width:12.9pt;height:15.05pt" o:ole="">
            <v:imagedata r:id="rId16" o:title=""/>
          </v:shape>
          <o:OLEObject Type="Embed" ProgID="Equation.3" ShapeID="_x0000_i1031" DrawAspect="Content" ObjectID="_1471694224" r:id="rId17"/>
        </w:object>
      </w:r>
      <w:r w:rsidRPr="00036E7A">
        <w:rPr>
          <w:sz w:val="28"/>
          <w:szCs w:val="28"/>
          <w:lang w:val="uk-UA"/>
        </w:rPr>
        <w:t xml:space="preserve"> рівномірно розподілено по прямокутній площі. Лінійне навантаження </w:t>
      </w:r>
      <w:r w:rsidRPr="00036E7A">
        <w:rPr>
          <w:position w:val="-12"/>
          <w:sz w:val="28"/>
          <w:szCs w:val="28"/>
          <w:lang w:val="uk-UA"/>
        </w:rPr>
        <w:object w:dxaOrig="260" w:dyaOrig="300">
          <v:shape id="_x0000_i1032" type="#_x0000_t75" style="width:12.9pt;height:15.05pt" o:ole="">
            <v:imagedata r:id="rId18" o:title=""/>
          </v:shape>
          <o:OLEObject Type="Embed" ProgID="Equation.3" ShapeID="_x0000_i1032" DrawAspect="Content" ObjectID="_1471694225" r:id="rId19"/>
        </w:object>
      </w:r>
      <w:r w:rsidRPr="00036E7A">
        <w:rPr>
          <w:sz w:val="28"/>
          <w:szCs w:val="28"/>
          <w:lang w:val="uk-UA"/>
        </w:rPr>
        <w:t xml:space="preserve">, розподілене вздовж частини кола може бути розкладене як парна функція </w:t>
      </w:r>
      <w:r w:rsidRPr="00036E7A">
        <w:rPr>
          <w:position w:val="-6"/>
          <w:sz w:val="28"/>
          <w:szCs w:val="28"/>
          <w:lang w:val="uk-UA"/>
        </w:rPr>
        <w:object w:dxaOrig="200" w:dyaOrig="240">
          <v:shape id="_x0000_i1033" type="#_x0000_t75" style="width:9.65pt;height:11.8pt" o:ole="">
            <v:imagedata r:id="rId20" o:title=""/>
          </v:shape>
          <o:OLEObject Type="Embed" ProgID="Equation.3" ShapeID="_x0000_i1033" DrawAspect="Content" ObjectID="_1471694226" r:id="rId21"/>
        </w:object>
      </w:r>
      <w:r w:rsidRPr="00036E7A">
        <w:rPr>
          <w:sz w:val="28"/>
          <w:szCs w:val="28"/>
          <w:lang w:val="uk-UA"/>
        </w:rPr>
        <w:t xml:space="preserve"> в ряд Фур’є з періодом </w:t>
      </w:r>
      <w:r w:rsidRPr="00036E7A">
        <w:rPr>
          <w:position w:val="-6"/>
          <w:sz w:val="28"/>
          <w:szCs w:val="28"/>
          <w:lang w:val="uk-UA"/>
        </w:rPr>
        <w:object w:dxaOrig="940" w:dyaOrig="300">
          <v:shape id="_x0000_i1034" type="#_x0000_t75" style="width:47.3pt;height:15.05pt" o:ole="">
            <v:imagedata r:id="rId22" o:title=""/>
          </v:shape>
          <o:OLEObject Type="Embed" ProgID="Equation.3" ShapeID="_x0000_i1034" DrawAspect="Content" ObjectID="_1471694227" r:id="rId23"/>
        </w:object>
      </w:r>
      <w:r w:rsidRPr="00036E7A">
        <w:rPr>
          <w:sz w:val="28"/>
          <w:szCs w:val="28"/>
          <w:lang w:val="uk-UA"/>
        </w:rPr>
        <w:t>.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>Маючи рішення для зосередженого навантаження, інтегруванням можна отримувати рішення задач для будь-якого виду локального навантаження.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>Радіальне навантаження на барабан від натягу троса на дугах контакту зі стінкою барабана приймається розподіленим по лінії (товщиною троса нехтуємо) з інтенсивністю по залежності Ейлера.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>Висновок</w:t>
      </w:r>
    </w:p>
    <w:p w:rsidR="006E595F" w:rsidRPr="00036E7A" w:rsidRDefault="006E595F" w:rsidP="006E595F">
      <w:pPr>
        <w:ind w:firstLine="709"/>
        <w:jc w:val="both"/>
        <w:rPr>
          <w:sz w:val="28"/>
          <w:szCs w:val="28"/>
          <w:lang w:val="uk-UA"/>
        </w:rPr>
      </w:pPr>
      <w:r w:rsidRPr="00036E7A">
        <w:rPr>
          <w:sz w:val="28"/>
          <w:szCs w:val="28"/>
          <w:lang w:val="uk-UA"/>
        </w:rPr>
        <w:t xml:space="preserve">Після обчислення силових факторів по отриманим залежностям не представляє праці оцінити напружений стан стінки фрикційного барабана. Враховуючи характер зміни напружень в осьовому напрямку при локальному навантаженні (типу крайового ефекту </w:t>
      </w:r>
      <w:r>
        <w:rPr>
          <w:sz w:val="28"/>
          <w:szCs w:val="28"/>
          <w:lang w:val="uk-UA"/>
        </w:rPr>
        <w:t>–</w:t>
      </w:r>
      <w:r w:rsidRPr="00036E7A">
        <w:rPr>
          <w:sz w:val="28"/>
          <w:szCs w:val="28"/>
          <w:lang w:val="uk-UA"/>
        </w:rPr>
        <w:t xml:space="preserve"> швидкого затухання), достатньо обчислити компоненти ПДС  стінки барабана при навантаженні 1-м полу витком тросу.</w:t>
      </w:r>
    </w:p>
    <w:p w:rsidR="006E595F" w:rsidRDefault="006E595F" w:rsidP="006E595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5BB4" w:rsidRPr="006E595F" w:rsidRDefault="006E595F" w:rsidP="006E595F">
      <w:pPr>
        <w:tabs>
          <w:tab w:val="left" w:pos="5529"/>
          <w:tab w:val="left" w:pos="6663"/>
        </w:tabs>
        <w:ind w:firstLine="737"/>
        <w:jc w:val="both"/>
        <w:rPr>
          <w:lang w:val="uk-UA"/>
        </w:rPr>
      </w:pPr>
      <w:r w:rsidRPr="00036E7A">
        <w:rPr>
          <w:spacing w:val="-2"/>
          <w:sz w:val="28"/>
          <w:szCs w:val="28"/>
        </w:rPr>
        <w:t xml:space="preserve">Робота </w:t>
      </w:r>
      <w:proofErr w:type="spellStart"/>
      <w:r w:rsidRPr="00036E7A">
        <w:rPr>
          <w:spacing w:val="-2"/>
          <w:sz w:val="28"/>
          <w:szCs w:val="28"/>
        </w:rPr>
        <w:t>виконана</w:t>
      </w:r>
      <w:proofErr w:type="spellEnd"/>
      <w:r w:rsidRPr="00036E7A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036E7A">
        <w:rPr>
          <w:spacing w:val="-2"/>
          <w:sz w:val="28"/>
          <w:szCs w:val="28"/>
        </w:rPr>
        <w:t>п</w:t>
      </w:r>
      <w:proofErr w:type="gramEnd"/>
      <w:r w:rsidRPr="00036E7A">
        <w:rPr>
          <w:spacing w:val="-2"/>
          <w:sz w:val="28"/>
          <w:szCs w:val="28"/>
        </w:rPr>
        <w:t>ід</w:t>
      </w:r>
      <w:proofErr w:type="spellEnd"/>
      <w:r w:rsidRPr="00036E7A">
        <w:rPr>
          <w:spacing w:val="-2"/>
          <w:sz w:val="28"/>
          <w:szCs w:val="28"/>
        </w:rPr>
        <w:t xml:space="preserve"> </w:t>
      </w:r>
      <w:proofErr w:type="spellStart"/>
      <w:r w:rsidRPr="00036E7A">
        <w:rPr>
          <w:spacing w:val="-2"/>
          <w:sz w:val="28"/>
          <w:szCs w:val="28"/>
        </w:rPr>
        <w:t>керівництвом</w:t>
      </w:r>
      <w:proofErr w:type="spellEnd"/>
      <w:r w:rsidRPr="00036E7A">
        <w:rPr>
          <w:spacing w:val="-2"/>
          <w:sz w:val="28"/>
          <w:szCs w:val="28"/>
        </w:rPr>
        <w:t xml:space="preserve"> </w:t>
      </w:r>
      <w:proofErr w:type="spellStart"/>
      <w:r w:rsidRPr="00036E7A">
        <w:rPr>
          <w:spacing w:val="-2"/>
          <w:sz w:val="28"/>
          <w:szCs w:val="28"/>
          <w:lang w:val="uk-UA"/>
        </w:rPr>
        <w:t>д.т.н</w:t>
      </w:r>
      <w:proofErr w:type="spellEnd"/>
      <w:r w:rsidRPr="00036E7A">
        <w:rPr>
          <w:spacing w:val="-2"/>
          <w:sz w:val="28"/>
          <w:szCs w:val="28"/>
        </w:rPr>
        <w:t>.</w:t>
      </w:r>
      <w:r w:rsidRPr="00036E7A">
        <w:rPr>
          <w:spacing w:val="-2"/>
          <w:sz w:val="28"/>
          <w:szCs w:val="28"/>
          <w:lang w:val="uk-UA"/>
        </w:rPr>
        <w:t>, проф.</w:t>
      </w:r>
      <w:r w:rsidRPr="00036E7A">
        <w:rPr>
          <w:spacing w:val="-2"/>
          <w:sz w:val="28"/>
          <w:szCs w:val="28"/>
        </w:rPr>
        <w:t xml:space="preserve"> каф. МО</w:t>
      </w:r>
      <w:r w:rsidRPr="00036E7A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036E7A">
        <w:rPr>
          <w:spacing w:val="-2"/>
          <w:sz w:val="28"/>
          <w:szCs w:val="28"/>
        </w:rPr>
        <w:t>і</w:t>
      </w:r>
      <w:proofErr w:type="spellEnd"/>
      <w:r w:rsidRPr="00036E7A">
        <w:rPr>
          <w:spacing w:val="-2"/>
          <w:sz w:val="28"/>
          <w:szCs w:val="28"/>
          <w:lang w:val="uk-UA"/>
        </w:rPr>
        <w:t xml:space="preserve"> </w:t>
      </w:r>
      <w:r w:rsidRPr="00036E7A">
        <w:rPr>
          <w:spacing w:val="-2"/>
          <w:sz w:val="28"/>
          <w:szCs w:val="28"/>
        </w:rPr>
        <w:t xml:space="preserve">ТС </w:t>
      </w:r>
      <w:proofErr w:type="spellStart"/>
      <w:r w:rsidRPr="00036E7A">
        <w:rPr>
          <w:spacing w:val="-2"/>
          <w:sz w:val="28"/>
          <w:szCs w:val="28"/>
          <w:lang w:val="uk-UA"/>
        </w:rPr>
        <w:t>Фідровської</w:t>
      </w:r>
      <w:proofErr w:type="spellEnd"/>
      <w:r w:rsidRPr="00036E7A">
        <w:rPr>
          <w:spacing w:val="-2"/>
          <w:sz w:val="28"/>
          <w:szCs w:val="28"/>
          <w:lang w:val="uk-UA"/>
        </w:rPr>
        <w:t xml:space="preserve"> Н.М.</w:t>
      </w:r>
    </w:p>
    <w:sectPr w:rsidR="00D15BB4" w:rsidRPr="006E595F" w:rsidSect="006E595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E595F"/>
    <w:rsid w:val="0007502A"/>
    <w:rsid w:val="006E595F"/>
    <w:rsid w:val="00B63CA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E59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6E59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1820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2014-09-08T12:10:00Z</dcterms:created>
  <dcterms:modified xsi:type="dcterms:W3CDTF">2014-09-08T12:11:00Z</dcterms:modified>
</cp:coreProperties>
</file>