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50" w:rsidRDefault="00AD1250" w:rsidP="00AD1250">
      <w:pPr>
        <w:pStyle w:val="1"/>
        <w:rPr>
          <w:caps/>
        </w:rPr>
      </w:pPr>
      <w:bookmarkStart w:id="0" w:name="_Toc279683281"/>
      <w:r>
        <w:t>Кузьмин В.В., Шевченко В.В.</w:t>
      </w:r>
      <w:bookmarkEnd w:id="0"/>
    </w:p>
    <w:p w:rsidR="00AD1250" w:rsidRDefault="00AD1250" w:rsidP="00AD1250">
      <w:pPr>
        <w:pStyle w:val="1"/>
        <w:rPr>
          <w:caps/>
        </w:rPr>
      </w:pPr>
    </w:p>
    <w:p w:rsidR="00AD1250" w:rsidRDefault="00AD1250" w:rsidP="00AD1250">
      <w:pPr>
        <w:pStyle w:val="1"/>
        <w:rPr>
          <w:caps/>
        </w:rPr>
      </w:pPr>
      <w:bookmarkStart w:id="1" w:name="_Toc279683282"/>
      <w:r>
        <w:rPr>
          <w:caps/>
        </w:rPr>
        <w:t>Об эффективности использования турбогенератора в режимах синхронного компенсатора на  энергоблоках тэс, Выводимых ИЗ эксплуатации</w:t>
      </w:r>
      <w:bookmarkEnd w:id="1"/>
      <w:r>
        <w:rPr>
          <w:caps/>
        </w:rPr>
        <w:t xml:space="preserve"> </w:t>
      </w:r>
    </w:p>
    <w:p w:rsidR="00AD1250" w:rsidRDefault="00AD1250" w:rsidP="00AD1250">
      <w:pPr>
        <w:ind w:firstLine="555"/>
        <w:jc w:val="center"/>
        <w:rPr>
          <w:b/>
          <w:caps/>
          <w:szCs w:val="28"/>
        </w:rPr>
      </w:pPr>
    </w:p>
    <w:p w:rsidR="00AD1250" w:rsidRDefault="00AD1250" w:rsidP="00AD1250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Впервые процедуру такой трансформации провели в конце 80-х годов фра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цузские энергетики – на ТЭС «Нанте - Шевирэ» турбогенераторы мощностью 250 мВт были переведены в режим синхронных  компенсаторов (доклад  СИГРЭ-90).</w:t>
      </w:r>
    </w:p>
    <w:p w:rsidR="00AD1250" w:rsidRDefault="00AD1250" w:rsidP="00AD1250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Для этого машинный комплекс был подвергнут незначительному объему по  модернизации, включающему</w:t>
      </w:r>
    </w:p>
    <w:p w:rsidR="00AD1250" w:rsidRDefault="00AD1250" w:rsidP="00AD12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мелкий восстановительный ремонт самого генератора;</w:t>
      </w:r>
    </w:p>
    <w:p w:rsidR="00AD1250" w:rsidRDefault="00AD1250" w:rsidP="00AD12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дополнительное оснащение его осевым подшипником и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мой пуска; </w:t>
      </w:r>
    </w:p>
    <w:p w:rsidR="00AD1250" w:rsidRDefault="00AD1250" w:rsidP="00AD12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доработку системы возбуждения, контроля, смазки и охлажд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AD1250" w:rsidRDefault="00AD1250" w:rsidP="00AD12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Выполненный авторами этой разработки анализ показал, что такой вариант экономически более целесообразен, как по материальным затратам, так и по качес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 регулирования, чем установка новых статических конденсаторов реактивной мощности. Тем более, что к тому времени выработка электроэнергии на АЭС Фра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ции превысила 75% её общего количества, что снизило потребность в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мощных сетей ТЭС. Актуальность применения подобных решений в энергоси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теме Украины основывается не только на таком же приоритете использования мо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ностей АЭС (коэффициент использования установленной мощности ТЭС не прев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шает 27%), но и в значительной степени тем, что:</w:t>
      </w:r>
    </w:p>
    <w:p w:rsidR="00AD1250" w:rsidRDefault="00AD1250" w:rsidP="00AD12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- 95% оборудования ТЭС выработало расчетный ресурс,</w:t>
      </w:r>
    </w:p>
    <w:p w:rsidR="00AD1250" w:rsidRDefault="00AD1250" w:rsidP="00AD12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энергоблоки мощностью до 160 МВт включительно к тому же имеют недопу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тимо низкие эколого - экономические  показатели</w:t>
      </w:r>
    </w:p>
    <w:p w:rsidR="00AD1250" w:rsidRDefault="00AD1250" w:rsidP="00AD1250">
      <w:pPr>
        <w:pStyle w:val="31"/>
        <w:keepNext w:val="0"/>
        <w:outlineLvl w:val="9"/>
        <w:rPr>
          <w:rFonts w:cs="Times New Roman"/>
        </w:rPr>
      </w:pPr>
      <w:r>
        <w:rPr>
          <w:rFonts w:cs="Times New Roman"/>
        </w:rPr>
        <w:t>- в энергосистеме остро ощущается дефицит устройств для компенсации реа</w:t>
      </w:r>
      <w:r>
        <w:rPr>
          <w:rFonts w:cs="Times New Roman"/>
        </w:rPr>
        <w:t>к</w:t>
      </w:r>
      <w:r>
        <w:rPr>
          <w:rFonts w:cs="Times New Roman"/>
        </w:rPr>
        <w:t>тивной мощности</w:t>
      </w:r>
    </w:p>
    <w:p w:rsidR="00AD1250" w:rsidRDefault="00AD1250" w:rsidP="00AD12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Выполненные нами, совместно с ВНИИЭ (г. Москва), расчеты подтверждают высокую технико-экономическую эффективность </w:t>
      </w:r>
      <w:r>
        <w:rPr>
          <w:sz w:val="28"/>
          <w:szCs w:val="28"/>
        </w:rPr>
        <w:lastRenderedPageBreak/>
        <w:t>трансформации турбогенерат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 в синхронные  компенсаторы. Так, по данным ВНИИЭ, создание нового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плекса нового компенсационного узла обходится примерно в 90 $/квар мощности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тальных затрат.</w:t>
      </w:r>
    </w:p>
    <w:p w:rsidR="00AD1250" w:rsidRDefault="00AD1250" w:rsidP="00AD12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Переделка же турбогенератора в синхронный компенсатор в максимально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требованном объеме (для обеспечения глубокого потребления реактивной мощн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сти) требует не более 10 $/ квар, т.к. в работе останется основное электротехническое оборудование бл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ка, включая силовой трансформаторы оборудование ОРУ.</w:t>
      </w:r>
    </w:p>
    <w:p w:rsidR="001B4B63" w:rsidRDefault="00AD1250" w:rsidP="00AD1250">
      <w:r>
        <w:rPr>
          <w:sz w:val="28"/>
          <w:szCs w:val="28"/>
        </w:rPr>
        <w:t>Решение проблемы компенсации реактивной мощности в энергосистеме 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раины описанным путем требует принятие решений на правительственном уровне, чтобы воспрепятствовать сдаче в металлолом электрооборудования, которое бол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ше соответствует намерениям местных администраций.</w:t>
      </w:r>
    </w:p>
    <w:sectPr w:rsidR="001B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FELayout/>
  </w:compat>
  <w:rsids>
    <w:rsidRoot w:val="00AD1250"/>
    <w:rsid w:val="001B4B63"/>
    <w:rsid w:val="00AD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1250"/>
    <w:pPr>
      <w:keepNext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12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250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31">
    <w:name w:val="Заголовок 31"/>
    <w:basedOn w:val="3"/>
    <w:autoRedefine/>
    <w:rsid w:val="00AD1250"/>
    <w:pPr>
      <w:keepLines w:val="0"/>
      <w:spacing w:before="0" w:line="240" w:lineRule="auto"/>
      <w:ind w:firstLine="540"/>
      <w:jc w:val="both"/>
    </w:pPr>
    <w:rPr>
      <w:rFonts w:ascii="Times New Roman" w:eastAsia="Times New Roman" w:hAnsi="Times New Roman" w:cs="Arial"/>
      <w:b w:val="0"/>
      <w:bCs w:val="0"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125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Irbis-12</dc:creator>
  <cp:keywords/>
  <dc:description/>
  <cp:lastModifiedBy>Irbis-12</cp:lastModifiedBy>
  <cp:revision>2</cp:revision>
  <dcterms:created xsi:type="dcterms:W3CDTF">2012-12-12T07:06:00Z</dcterms:created>
  <dcterms:modified xsi:type="dcterms:W3CDTF">2012-12-12T07:07:00Z</dcterms:modified>
</cp:coreProperties>
</file>